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4B702">
      <w:pPr>
        <w:spacing w:line="360" w:lineRule="auto"/>
        <w:jc w:val="center"/>
        <w:rPr>
          <w:rFonts w:ascii="宋体"/>
          <w:sz w:val="28"/>
          <w:szCs w:val="28"/>
        </w:rPr>
      </w:pPr>
    </w:p>
    <w:p w14:paraId="26765465">
      <w:pPr>
        <w:spacing w:line="360" w:lineRule="auto"/>
        <w:jc w:val="center"/>
        <w:rPr>
          <w:rFonts w:ascii="宋体"/>
          <w:sz w:val="28"/>
          <w:szCs w:val="28"/>
        </w:rPr>
      </w:pPr>
    </w:p>
    <w:p w14:paraId="01E2B520">
      <w:pPr>
        <w:spacing w:line="360" w:lineRule="auto"/>
        <w:jc w:val="center"/>
        <w:rPr>
          <w:rFonts w:ascii="宋体" w:hAnsi="宋体" w:cs="微软雅黑"/>
          <w:sz w:val="44"/>
          <w:szCs w:val="44"/>
        </w:rPr>
      </w:pPr>
      <w:r>
        <w:rPr>
          <w:rFonts w:hint="eastAsia" w:ascii="宋体" w:hAnsi="宋体" w:cs="微软雅黑"/>
          <w:sz w:val="44"/>
          <w:szCs w:val="44"/>
          <w:lang w:val="en-US" w:eastAsia="zh-CN"/>
        </w:rPr>
        <w:t>西站大道二期给水工程海星电子厂区段顶管  专业分包项目</w:t>
      </w:r>
    </w:p>
    <w:p w14:paraId="7D129688">
      <w:pPr>
        <w:jc w:val="center"/>
        <w:rPr>
          <w:rFonts w:ascii="宋体" w:hAnsi="宋体" w:cs="微软雅黑"/>
          <w:sz w:val="52"/>
          <w:szCs w:val="52"/>
        </w:rPr>
      </w:pPr>
    </w:p>
    <w:p w14:paraId="51D25791">
      <w:pPr>
        <w:spacing w:line="360" w:lineRule="auto"/>
        <w:jc w:val="center"/>
        <w:rPr>
          <w:rFonts w:ascii="宋体"/>
          <w:sz w:val="44"/>
          <w:szCs w:val="44"/>
        </w:rPr>
      </w:pPr>
    </w:p>
    <w:p w14:paraId="6CD13B1E">
      <w:pPr>
        <w:spacing w:line="360" w:lineRule="auto"/>
        <w:rPr>
          <w:rFonts w:ascii="宋体"/>
          <w:sz w:val="44"/>
          <w:szCs w:val="44"/>
        </w:rPr>
      </w:pPr>
    </w:p>
    <w:p w14:paraId="43B74CBB">
      <w:pPr>
        <w:spacing w:line="800" w:lineRule="exact"/>
        <w:jc w:val="center"/>
        <w:rPr>
          <w:rFonts w:ascii="宋体" w:hAnsi="宋体" w:cs="宋体"/>
          <w:sz w:val="72"/>
          <w:szCs w:val="72"/>
        </w:rPr>
      </w:pPr>
    </w:p>
    <w:p w14:paraId="51C434F0">
      <w:pPr>
        <w:spacing w:line="800" w:lineRule="exact"/>
        <w:jc w:val="center"/>
        <w:rPr>
          <w:rFonts w:ascii="宋体"/>
          <w:sz w:val="72"/>
          <w:szCs w:val="72"/>
        </w:rPr>
      </w:pPr>
      <w:r>
        <w:rPr>
          <w:rFonts w:hint="eastAsia" w:ascii="宋体" w:hAnsi="宋体" w:cs="宋体"/>
          <w:sz w:val="72"/>
          <w:szCs w:val="72"/>
        </w:rPr>
        <w:t>招标文件</w:t>
      </w:r>
    </w:p>
    <w:p w14:paraId="0A11575F">
      <w:pPr>
        <w:spacing w:line="360" w:lineRule="auto"/>
        <w:jc w:val="center"/>
        <w:rPr>
          <w:rFonts w:ascii="宋体"/>
          <w:sz w:val="28"/>
          <w:szCs w:val="28"/>
        </w:rPr>
      </w:pPr>
      <w:r>
        <w:rPr>
          <w:rFonts w:hint="eastAsia" w:ascii="宋体" w:hAnsi="宋体" w:cs="宋体"/>
          <w:sz w:val="28"/>
          <w:szCs w:val="28"/>
        </w:rPr>
        <w:t>（资格后审）</w:t>
      </w:r>
    </w:p>
    <w:p w14:paraId="5DB108FF">
      <w:pPr>
        <w:spacing w:line="360" w:lineRule="auto"/>
        <w:jc w:val="center"/>
        <w:rPr>
          <w:rFonts w:ascii="宋体"/>
          <w:sz w:val="28"/>
          <w:szCs w:val="28"/>
        </w:rPr>
      </w:pPr>
    </w:p>
    <w:p w14:paraId="0CED781D">
      <w:pPr>
        <w:spacing w:line="360" w:lineRule="auto"/>
        <w:jc w:val="center"/>
        <w:rPr>
          <w:rFonts w:ascii="宋体"/>
          <w:sz w:val="28"/>
          <w:szCs w:val="28"/>
        </w:rPr>
      </w:pPr>
    </w:p>
    <w:p w14:paraId="77063A11">
      <w:pPr>
        <w:spacing w:line="360" w:lineRule="auto"/>
        <w:jc w:val="center"/>
        <w:rPr>
          <w:rFonts w:ascii="宋体"/>
          <w:sz w:val="28"/>
          <w:szCs w:val="28"/>
        </w:rPr>
      </w:pPr>
    </w:p>
    <w:p w14:paraId="2E1E1007">
      <w:pPr>
        <w:spacing w:line="360" w:lineRule="auto"/>
        <w:jc w:val="center"/>
        <w:rPr>
          <w:rFonts w:ascii="宋体"/>
          <w:sz w:val="28"/>
          <w:szCs w:val="28"/>
        </w:rPr>
      </w:pPr>
    </w:p>
    <w:p w14:paraId="0B7A1B8C">
      <w:pPr>
        <w:spacing w:line="360" w:lineRule="auto"/>
        <w:jc w:val="center"/>
        <w:rPr>
          <w:rFonts w:ascii="宋体"/>
          <w:sz w:val="28"/>
          <w:szCs w:val="28"/>
        </w:rPr>
      </w:pPr>
    </w:p>
    <w:p w14:paraId="50158B1B">
      <w:pPr>
        <w:spacing w:line="360" w:lineRule="auto"/>
        <w:jc w:val="center"/>
        <w:rPr>
          <w:rFonts w:ascii="宋体"/>
          <w:sz w:val="28"/>
          <w:szCs w:val="28"/>
        </w:rPr>
      </w:pPr>
    </w:p>
    <w:p w14:paraId="373DFC4F">
      <w:pPr>
        <w:spacing w:line="360" w:lineRule="auto"/>
        <w:jc w:val="center"/>
        <w:rPr>
          <w:rFonts w:ascii="宋体"/>
          <w:sz w:val="28"/>
          <w:szCs w:val="28"/>
        </w:rPr>
      </w:pPr>
    </w:p>
    <w:p w14:paraId="599ECC12">
      <w:pPr>
        <w:spacing w:line="360" w:lineRule="auto"/>
        <w:rPr>
          <w:rFonts w:ascii="宋体"/>
          <w:sz w:val="28"/>
          <w:szCs w:val="28"/>
        </w:rPr>
      </w:pPr>
    </w:p>
    <w:p w14:paraId="19783816">
      <w:pPr>
        <w:tabs>
          <w:tab w:val="center" w:pos="4677"/>
          <w:tab w:val="right" w:pos="9355"/>
        </w:tabs>
        <w:snapToGrid w:val="0"/>
        <w:spacing w:line="360" w:lineRule="auto"/>
        <w:jc w:val="center"/>
        <w:rPr>
          <w:rFonts w:ascii="宋体" w:hAnsi="宋体" w:cs="宋体"/>
          <w:sz w:val="28"/>
          <w:szCs w:val="28"/>
        </w:rPr>
      </w:pPr>
      <w:bookmarkStart w:id="0" w:name="_Toc389065120"/>
      <w:bookmarkStart w:id="1" w:name="_Toc498006631"/>
      <w:r>
        <w:rPr>
          <w:rFonts w:hint="eastAsia" w:ascii="宋体" w:hAnsi="宋体" w:cs="宋体"/>
          <w:sz w:val="28"/>
          <w:szCs w:val="28"/>
        </w:rPr>
        <w:t>招标人：南通市通州区水务工程有限公司</w:t>
      </w:r>
    </w:p>
    <w:p w14:paraId="323939BC">
      <w:pPr>
        <w:spacing w:line="360" w:lineRule="auto"/>
        <w:ind w:firstLine="1377" w:firstLineChars="492"/>
        <w:jc w:val="left"/>
        <w:rPr>
          <w:rFonts w:ascii="宋体"/>
          <w:sz w:val="28"/>
          <w:szCs w:val="28"/>
          <w:u w:val="single"/>
        </w:rPr>
      </w:pPr>
      <w:r>
        <w:rPr>
          <w:rFonts w:hint="eastAsia" w:ascii="宋体" w:hAnsi="宋体" w:cs="宋体"/>
          <w:sz w:val="28"/>
          <w:szCs w:val="28"/>
        </w:rPr>
        <w:t>招标代理：南通市通州天元建设监理咨询有限公司</w:t>
      </w:r>
    </w:p>
    <w:p w14:paraId="511E6ECE">
      <w:pPr>
        <w:pStyle w:val="266"/>
        <w:jc w:val="left"/>
        <w:rPr>
          <w:rFonts w:ascii="宋体"/>
          <w:sz w:val="32"/>
          <w:szCs w:val="32"/>
        </w:rPr>
        <w:sectPr>
          <w:footerReference r:id="rId4" w:type="first"/>
          <w:footerReference r:id="rId3" w:type="default"/>
          <w:pgSz w:w="11906" w:h="16838"/>
          <w:pgMar w:top="1440" w:right="1559" w:bottom="1440" w:left="1560" w:header="851" w:footer="851" w:gutter="0"/>
          <w:pgNumType w:start="1"/>
          <w:cols w:space="720" w:num="1"/>
          <w:titlePg/>
          <w:docGrid w:linePitch="312" w:charSpace="0"/>
        </w:sectPr>
      </w:pPr>
      <w:r>
        <w:rPr>
          <w:rFonts w:ascii="宋体" w:hAnsi="宋体" w:cs="宋体"/>
          <w:sz w:val="28"/>
          <w:szCs w:val="28"/>
        </w:rPr>
        <w:t xml:space="preserve">                      202</w:t>
      </w:r>
      <w:r>
        <w:rPr>
          <w:rFonts w:hint="eastAsia" w:ascii="宋体" w:hAnsi="宋体" w:cs="宋体"/>
          <w:sz w:val="28"/>
          <w:szCs w:val="28"/>
          <w:lang w:val="en-US" w:eastAsia="zh-CN"/>
        </w:rPr>
        <w:t>5</w:t>
      </w:r>
      <w:r>
        <w:rPr>
          <w:rFonts w:hint="eastAsia" w:ascii="宋体" w:hAnsi="宋体" w:cs="宋体"/>
          <w:sz w:val="28"/>
          <w:szCs w:val="28"/>
        </w:rPr>
        <w:t>年</w:t>
      </w:r>
      <w:r>
        <w:rPr>
          <w:rFonts w:hint="eastAsia" w:ascii="宋体" w:hAnsi="宋体" w:cs="宋体"/>
          <w:sz w:val="28"/>
          <w:szCs w:val="28"/>
          <w:lang w:val="en-US" w:eastAsia="zh-CN"/>
        </w:rPr>
        <w:t>2</w:t>
      </w:r>
      <w:r>
        <w:rPr>
          <w:rFonts w:hint="eastAsia" w:ascii="宋体" w:hAnsi="宋体" w:cs="宋体"/>
          <w:sz w:val="28"/>
          <w:szCs w:val="28"/>
        </w:rPr>
        <w:t>月</w:t>
      </w:r>
      <w:r>
        <w:rPr>
          <w:rFonts w:hint="eastAsia" w:ascii="宋体" w:hAnsi="宋体" w:cs="宋体"/>
          <w:sz w:val="28"/>
          <w:szCs w:val="28"/>
          <w:lang w:val="en-US" w:eastAsia="zh-CN"/>
        </w:rPr>
        <w:t>26</w:t>
      </w:r>
      <w:r>
        <w:rPr>
          <w:rFonts w:hint="eastAsia" w:ascii="宋体" w:hAnsi="宋体" w:cs="宋体"/>
          <w:sz w:val="28"/>
          <w:szCs w:val="28"/>
        </w:rPr>
        <w:t>日</w:t>
      </w:r>
    </w:p>
    <w:p w14:paraId="007D2EED">
      <w:pPr>
        <w:pStyle w:val="2"/>
        <w:spacing w:line="400" w:lineRule="exact"/>
        <w:jc w:val="center"/>
        <w:rPr>
          <w:rFonts w:ascii="宋体" w:hAnsi="宋体" w:eastAsia="宋体" w:cs="宋体"/>
        </w:rPr>
      </w:pPr>
    </w:p>
    <w:p w14:paraId="5509153E">
      <w:pPr>
        <w:jc w:val="center"/>
        <w:rPr>
          <w:sz w:val="36"/>
          <w:szCs w:val="36"/>
        </w:rPr>
      </w:pPr>
      <w:r>
        <w:rPr>
          <w:rFonts w:hint="eastAsia"/>
          <w:sz w:val="36"/>
          <w:szCs w:val="36"/>
        </w:rPr>
        <w:t>招标文件备案表</w:t>
      </w:r>
    </w:p>
    <w:tbl>
      <w:tblPr>
        <w:tblStyle w:val="358"/>
        <w:tblpPr w:leftFromText="180" w:rightFromText="180" w:vertAnchor="page" w:horzAnchor="page" w:tblpXSpec="center" w:tblpY="2619"/>
        <w:tblOverlap w:val="never"/>
        <w:tblW w:w="96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655"/>
      </w:tblGrid>
      <w:tr w14:paraId="39D3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1" w:hRule="atLeast"/>
          <w:jc w:val="center"/>
        </w:trPr>
        <w:tc>
          <w:tcPr>
            <w:tcW w:w="1951" w:type="dxa"/>
            <w:vAlign w:val="center"/>
          </w:tcPr>
          <w:p w14:paraId="06A17938">
            <w:pPr>
              <w:jc w:val="center"/>
              <w:rPr>
                <w:rFonts w:cs="仿宋" w:asciiTheme="minorEastAsia" w:hAnsiTheme="minorEastAsia" w:eastAsiaTheme="minorEastAsia"/>
                <w:sz w:val="32"/>
                <w:szCs w:val="32"/>
              </w:rPr>
            </w:pPr>
            <w:r>
              <w:rPr>
                <w:rFonts w:hint="eastAsia" w:cs="仿宋" w:asciiTheme="minorEastAsia" w:hAnsiTheme="minorEastAsia" w:eastAsiaTheme="minorEastAsia"/>
                <w:sz w:val="32"/>
                <w:szCs w:val="32"/>
              </w:rPr>
              <w:t>招标代理</w:t>
            </w:r>
          </w:p>
        </w:tc>
        <w:tc>
          <w:tcPr>
            <w:tcW w:w="7655" w:type="dxa"/>
          </w:tcPr>
          <w:p w14:paraId="0D314FF2">
            <w:pPr>
              <w:rPr>
                <w:rFonts w:cs="仿宋" w:asciiTheme="minorEastAsia" w:hAnsiTheme="minorEastAsia" w:eastAsiaTheme="minorEastAsia"/>
                <w:sz w:val="32"/>
                <w:szCs w:val="32"/>
              </w:rPr>
            </w:pPr>
          </w:p>
          <w:p w14:paraId="4CAF5B85">
            <w:pPr>
              <w:rPr>
                <w:rFonts w:cs="仿宋" w:asciiTheme="minorEastAsia" w:hAnsiTheme="minorEastAsia" w:eastAsiaTheme="minorEastAsia"/>
                <w:sz w:val="32"/>
                <w:szCs w:val="32"/>
              </w:rPr>
            </w:pPr>
          </w:p>
          <w:p w14:paraId="2AA8EC5F">
            <w:pPr>
              <w:rPr>
                <w:rFonts w:cs="仿宋" w:asciiTheme="minorEastAsia" w:hAnsiTheme="minorEastAsia" w:eastAsiaTheme="minorEastAsia"/>
                <w:sz w:val="32"/>
                <w:szCs w:val="32"/>
              </w:rPr>
            </w:pPr>
          </w:p>
          <w:p w14:paraId="3D1318AE">
            <w:pPr>
              <w:rPr>
                <w:rFonts w:cs="仿宋" w:asciiTheme="minorEastAsia" w:hAnsiTheme="minorEastAsia" w:eastAsiaTheme="minorEastAsia"/>
                <w:sz w:val="32"/>
                <w:szCs w:val="32"/>
              </w:rPr>
            </w:pPr>
          </w:p>
          <w:p w14:paraId="0F78ED66">
            <w:pPr>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编制人：</w:t>
            </w:r>
          </w:p>
          <w:p w14:paraId="2EF3016B">
            <w:pPr>
              <w:rPr>
                <w:rFonts w:cs="仿宋" w:asciiTheme="minorEastAsia" w:hAnsiTheme="minorEastAsia" w:eastAsiaTheme="minorEastAsia"/>
                <w:sz w:val="30"/>
                <w:szCs w:val="30"/>
              </w:rPr>
            </w:pPr>
          </w:p>
          <w:p w14:paraId="3F1CEB65">
            <w:pPr>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招标代理：  （公章）</w:t>
            </w:r>
          </w:p>
          <w:p w14:paraId="69158EEA">
            <w:pPr>
              <w:rPr>
                <w:rFonts w:cs="仿宋" w:asciiTheme="minorEastAsia" w:hAnsiTheme="minorEastAsia" w:eastAsiaTheme="minorEastAsia"/>
                <w:sz w:val="30"/>
                <w:szCs w:val="30"/>
              </w:rPr>
            </w:pPr>
          </w:p>
          <w:p w14:paraId="48C9CB82">
            <w:pPr>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 xml:space="preserve">                      202</w:t>
            </w:r>
            <w:r>
              <w:rPr>
                <w:rFonts w:hint="eastAsia" w:cs="仿宋" w:asciiTheme="minorEastAsia" w:hAnsiTheme="minorEastAsia" w:eastAsiaTheme="minorEastAsia"/>
                <w:sz w:val="30"/>
                <w:szCs w:val="30"/>
                <w:lang w:val="en-US" w:eastAsia="zh-CN"/>
              </w:rPr>
              <w:t>5</w:t>
            </w:r>
            <w:r>
              <w:rPr>
                <w:rFonts w:hint="eastAsia" w:cs="仿宋" w:asciiTheme="minorEastAsia" w:hAnsiTheme="minorEastAsia" w:eastAsiaTheme="minorEastAsia"/>
                <w:sz w:val="30"/>
                <w:szCs w:val="30"/>
              </w:rPr>
              <w:t>年</w:t>
            </w:r>
            <w:r>
              <w:rPr>
                <w:rFonts w:hint="eastAsia" w:cs="仿宋" w:asciiTheme="minorEastAsia" w:hAnsiTheme="minorEastAsia" w:eastAsiaTheme="minorEastAsia"/>
                <w:sz w:val="30"/>
                <w:szCs w:val="30"/>
                <w:lang w:val="en-US" w:eastAsia="zh-CN"/>
              </w:rPr>
              <w:t>2</w:t>
            </w:r>
            <w:r>
              <w:rPr>
                <w:rFonts w:hint="eastAsia" w:cs="仿宋" w:asciiTheme="minorEastAsia" w:hAnsiTheme="minorEastAsia" w:eastAsiaTheme="minorEastAsia"/>
                <w:sz w:val="30"/>
                <w:szCs w:val="30"/>
              </w:rPr>
              <w:t>月  日</w:t>
            </w:r>
          </w:p>
        </w:tc>
      </w:tr>
      <w:tr w14:paraId="333C7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0" w:hRule="atLeast"/>
          <w:jc w:val="center"/>
        </w:trPr>
        <w:tc>
          <w:tcPr>
            <w:tcW w:w="1951" w:type="dxa"/>
            <w:vAlign w:val="center"/>
          </w:tcPr>
          <w:p w14:paraId="531757DB">
            <w:pPr>
              <w:jc w:val="center"/>
              <w:rPr>
                <w:rFonts w:cs="仿宋" w:asciiTheme="minorEastAsia" w:hAnsiTheme="minorEastAsia" w:eastAsiaTheme="minorEastAsia"/>
                <w:szCs w:val="24"/>
              </w:rPr>
            </w:pPr>
            <w:r>
              <w:rPr>
                <w:rFonts w:hint="eastAsia" w:cs="仿宋" w:asciiTheme="minorEastAsia" w:hAnsiTheme="minorEastAsia" w:eastAsiaTheme="minorEastAsia"/>
                <w:sz w:val="30"/>
                <w:szCs w:val="30"/>
              </w:rPr>
              <w:t>招标人</w:t>
            </w:r>
          </w:p>
        </w:tc>
        <w:tc>
          <w:tcPr>
            <w:tcW w:w="7655" w:type="dxa"/>
          </w:tcPr>
          <w:p w14:paraId="37F01093">
            <w:pPr>
              <w:rPr>
                <w:rFonts w:cs="仿宋" w:asciiTheme="minorEastAsia" w:hAnsiTheme="minorEastAsia" w:eastAsiaTheme="minorEastAsia"/>
                <w:sz w:val="30"/>
                <w:szCs w:val="30"/>
              </w:rPr>
            </w:pPr>
          </w:p>
          <w:p w14:paraId="663D3C6B">
            <w:pPr>
              <w:rPr>
                <w:rFonts w:cs="仿宋" w:asciiTheme="minorEastAsia" w:hAnsiTheme="minorEastAsia" w:eastAsiaTheme="minorEastAsia"/>
                <w:sz w:val="30"/>
                <w:szCs w:val="30"/>
              </w:rPr>
            </w:pPr>
          </w:p>
          <w:p w14:paraId="402EBB46">
            <w:pPr>
              <w:rPr>
                <w:rFonts w:cs="仿宋" w:asciiTheme="minorEastAsia" w:hAnsiTheme="minorEastAsia" w:eastAsiaTheme="minorEastAsia"/>
                <w:sz w:val="30"/>
                <w:szCs w:val="30"/>
              </w:rPr>
            </w:pPr>
          </w:p>
          <w:p w14:paraId="29BE7CBF">
            <w:pPr>
              <w:rPr>
                <w:rFonts w:cs="仿宋" w:asciiTheme="minorEastAsia" w:hAnsiTheme="minorEastAsia" w:eastAsiaTheme="minorEastAsia"/>
                <w:sz w:val="30"/>
                <w:szCs w:val="30"/>
              </w:rPr>
            </w:pPr>
          </w:p>
          <w:p w14:paraId="73A6CDD1">
            <w:pPr>
              <w:rPr>
                <w:rFonts w:cs="仿宋" w:asciiTheme="minorEastAsia" w:hAnsiTheme="minorEastAsia" w:eastAsiaTheme="minorEastAsia"/>
                <w:sz w:val="30"/>
                <w:szCs w:val="30"/>
              </w:rPr>
            </w:pPr>
          </w:p>
          <w:p w14:paraId="59AC132A">
            <w:pPr>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负责人：</w:t>
            </w:r>
          </w:p>
          <w:p w14:paraId="39191072">
            <w:pPr>
              <w:rPr>
                <w:rFonts w:cs="仿宋" w:asciiTheme="minorEastAsia" w:hAnsiTheme="minorEastAsia" w:eastAsiaTheme="minorEastAsia"/>
                <w:sz w:val="30"/>
                <w:szCs w:val="30"/>
              </w:rPr>
            </w:pPr>
          </w:p>
          <w:p w14:paraId="5FEDC169">
            <w:pPr>
              <w:rPr>
                <w:rFonts w:cs="仿宋" w:asciiTheme="minorEastAsia" w:hAnsiTheme="minorEastAsia" w:eastAsiaTheme="minorEastAsia"/>
                <w:sz w:val="30"/>
                <w:szCs w:val="30"/>
              </w:rPr>
            </w:pPr>
          </w:p>
          <w:p w14:paraId="4A90A8C1">
            <w:pPr>
              <w:rPr>
                <w:rFonts w:cs="仿宋" w:asciiTheme="minorEastAsia" w:hAnsiTheme="minorEastAsia" w:eastAsiaTheme="minorEastAsia"/>
                <w:sz w:val="30"/>
                <w:szCs w:val="30"/>
              </w:rPr>
            </w:pPr>
          </w:p>
          <w:p w14:paraId="393C7498">
            <w:pPr>
              <w:ind w:firstLine="2700" w:firstLineChars="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招标人意见：</w:t>
            </w:r>
          </w:p>
          <w:p w14:paraId="5D32D5B0">
            <w:pPr>
              <w:rPr>
                <w:rFonts w:cs="仿宋" w:asciiTheme="minorEastAsia" w:hAnsiTheme="minorEastAsia" w:eastAsiaTheme="minorEastAsia"/>
                <w:szCs w:val="24"/>
              </w:rPr>
            </w:pPr>
          </w:p>
          <w:p w14:paraId="0E90F9C3">
            <w:pPr>
              <w:rPr>
                <w:rFonts w:cs="仿宋" w:asciiTheme="minorEastAsia" w:hAnsiTheme="minorEastAsia" w:eastAsiaTheme="minorEastAsia"/>
                <w:szCs w:val="24"/>
              </w:rPr>
            </w:pPr>
          </w:p>
          <w:p w14:paraId="36ECCEAB">
            <w:pPr>
              <w:ind w:firstLine="3000" w:firstLineChars="1000"/>
              <w:rPr>
                <w:rFonts w:cs="仿宋" w:asciiTheme="minorEastAsia" w:hAnsiTheme="minorEastAsia" w:eastAsiaTheme="minorEastAsia"/>
                <w:szCs w:val="24"/>
              </w:rPr>
            </w:pPr>
            <w:r>
              <w:rPr>
                <w:rFonts w:hint="eastAsia" w:cs="仿宋" w:asciiTheme="minorEastAsia" w:hAnsiTheme="minorEastAsia" w:eastAsiaTheme="minorEastAsia"/>
                <w:sz w:val="30"/>
                <w:szCs w:val="30"/>
              </w:rPr>
              <w:t>（公章）</w:t>
            </w:r>
          </w:p>
          <w:p w14:paraId="24EB7B2D">
            <w:pPr>
              <w:ind w:firstLine="2700" w:firstLineChars="900"/>
              <w:rPr>
                <w:rFonts w:cs="仿宋" w:asciiTheme="minorEastAsia" w:hAnsiTheme="minorEastAsia" w:eastAsiaTheme="minorEastAsia"/>
                <w:sz w:val="30"/>
                <w:szCs w:val="30"/>
              </w:rPr>
            </w:pPr>
          </w:p>
          <w:p w14:paraId="3CE2758F">
            <w:pPr>
              <w:ind w:firstLine="630" w:firstLineChars="300"/>
              <w:rPr>
                <w:rFonts w:cs="仿宋" w:asciiTheme="minorEastAsia" w:hAnsiTheme="minorEastAsia" w:eastAsiaTheme="minorEastAsia"/>
                <w:szCs w:val="24"/>
              </w:rPr>
            </w:pPr>
          </w:p>
          <w:p w14:paraId="3021BE91">
            <w:pPr>
              <w:ind w:firstLine="3300" w:firstLineChars="1100"/>
              <w:rPr>
                <w:rFonts w:cs="仿宋" w:asciiTheme="minorEastAsia" w:hAnsiTheme="minorEastAsia" w:eastAsiaTheme="minorEastAsia"/>
                <w:sz w:val="30"/>
                <w:szCs w:val="30"/>
              </w:rPr>
            </w:pPr>
          </w:p>
          <w:p w14:paraId="41386012">
            <w:pPr>
              <w:ind w:firstLine="3300" w:firstLineChars="1100"/>
              <w:rPr>
                <w:rFonts w:cs="仿宋" w:asciiTheme="minorEastAsia" w:hAnsiTheme="minorEastAsia" w:eastAsiaTheme="minorEastAsia"/>
                <w:sz w:val="30"/>
                <w:szCs w:val="30"/>
              </w:rPr>
            </w:pPr>
          </w:p>
          <w:p w14:paraId="0422CDBC">
            <w:pPr>
              <w:ind w:firstLine="3300" w:firstLineChars="1100"/>
              <w:rPr>
                <w:rFonts w:cs="仿宋" w:asciiTheme="minorEastAsia" w:hAnsiTheme="minorEastAsia" w:eastAsiaTheme="minorEastAsia"/>
                <w:sz w:val="30"/>
                <w:szCs w:val="30"/>
              </w:rPr>
            </w:pPr>
          </w:p>
          <w:p w14:paraId="344C8B23">
            <w:pPr>
              <w:ind w:firstLine="3300" w:firstLineChars="11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202</w:t>
            </w:r>
            <w:r>
              <w:rPr>
                <w:rFonts w:hint="eastAsia" w:cs="仿宋" w:asciiTheme="minorEastAsia" w:hAnsiTheme="minorEastAsia" w:eastAsiaTheme="minorEastAsia"/>
                <w:sz w:val="30"/>
                <w:szCs w:val="30"/>
                <w:lang w:val="en-US" w:eastAsia="zh-CN"/>
              </w:rPr>
              <w:t>5</w:t>
            </w:r>
            <w:r>
              <w:rPr>
                <w:rFonts w:hint="eastAsia" w:cs="仿宋" w:asciiTheme="minorEastAsia" w:hAnsiTheme="minorEastAsia" w:eastAsiaTheme="minorEastAsia"/>
                <w:sz w:val="30"/>
                <w:szCs w:val="30"/>
              </w:rPr>
              <w:t>年</w:t>
            </w:r>
            <w:r>
              <w:rPr>
                <w:rFonts w:hint="eastAsia" w:cs="仿宋" w:asciiTheme="minorEastAsia" w:hAnsiTheme="minorEastAsia" w:eastAsiaTheme="minorEastAsia"/>
                <w:sz w:val="30"/>
                <w:szCs w:val="30"/>
                <w:lang w:val="en-US" w:eastAsia="zh-CN"/>
              </w:rPr>
              <w:t>2</w:t>
            </w:r>
            <w:r>
              <w:rPr>
                <w:rFonts w:hint="eastAsia" w:cs="仿宋" w:asciiTheme="minorEastAsia" w:hAnsiTheme="minorEastAsia" w:eastAsiaTheme="minorEastAsia"/>
                <w:sz w:val="30"/>
                <w:szCs w:val="30"/>
              </w:rPr>
              <w:t>月  日</w:t>
            </w:r>
          </w:p>
          <w:p w14:paraId="5FE59B5F">
            <w:pPr>
              <w:ind w:firstLine="3300" w:firstLineChars="1100"/>
              <w:rPr>
                <w:rFonts w:cs="仿宋" w:asciiTheme="minorEastAsia" w:hAnsiTheme="minorEastAsia" w:eastAsiaTheme="minorEastAsia"/>
                <w:sz w:val="30"/>
                <w:szCs w:val="30"/>
              </w:rPr>
            </w:pPr>
          </w:p>
          <w:p w14:paraId="39A0459C">
            <w:pPr>
              <w:ind w:firstLine="3300" w:firstLineChars="1100"/>
              <w:rPr>
                <w:rFonts w:cs="仿宋" w:asciiTheme="minorEastAsia" w:hAnsiTheme="minorEastAsia" w:eastAsiaTheme="minorEastAsia"/>
                <w:sz w:val="30"/>
                <w:szCs w:val="30"/>
              </w:rPr>
            </w:pPr>
          </w:p>
          <w:p w14:paraId="200AE2ED">
            <w:pPr>
              <w:ind w:firstLine="3300" w:firstLineChars="1100"/>
              <w:rPr>
                <w:rFonts w:cs="仿宋" w:asciiTheme="minorEastAsia" w:hAnsiTheme="minorEastAsia" w:eastAsiaTheme="minorEastAsia"/>
                <w:sz w:val="30"/>
                <w:szCs w:val="30"/>
              </w:rPr>
            </w:pPr>
          </w:p>
          <w:p w14:paraId="6C18F333">
            <w:pPr>
              <w:ind w:firstLine="2310" w:firstLineChars="1100"/>
              <w:rPr>
                <w:rFonts w:cs="仿宋" w:asciiTheme="minorEastAsia" w:hAnsiTheme="minorEastAsia" w:eastAsiaTheme="minorEastAsia"/>
                <w:szCs w:val="24"/>
              </w:rPr>
            </w:pPr>
          </w:p>
        </w:tc>
      </w:tr>
    </w:tbl>
    <w:p w14:paraId="28B84AE9">
      <w:pPr>
        <w:pStyle w:val="2"/>
        <w:numPr>
          <w:ilvl w:val="0"/>
          <w:numId w:val="1"/>
        </w:numPr>
        <w:spacing w:line="480" w:lineRule="exact"/>
        <w:jc w:val="center"/>
        <w:rPr>
          <w:rFonts w:ascii="宋体" w:hAnsi="宋体" w:eastAsia="宋体"/>
          <w:sz w:val="36"/>
          <w:szCs w:val="36"/>
        </w:rPr>
      </w:pPr>
      <w:r>
        <w:rPr>
          <w:rFonts w:hint="eastAsia" w:ascii="宋体" w:hAnsi="宋体" w:eastAsia="宋体" w:cs="宋体"/>
          <w:sz w:val="36"/>
          <w:szCs w:val="36"/>
        </w:rPr>
        <w:t xml:space="preserve">  招标公告</w:t>
      </w:r>
      <w:bookmarkEnd w:id="0"/>
      <w:bookmarkEnd w:id="1"/>
    </w:p>
    <w:p w14:paraId="05DA6FB7">
      <w:pPr>
        <w:spacing w:line="440" w:lineRule="exact"/>
        <w:jc w:val="center"/>
        <w:rPr>
          <w:rFonts w:ascii="宋体" w:hAnsi="宋体" w:cs="宋体"/>
          <w:sz w:val="28"/>
          <w:szCs w:val="28"/>
        </w:rPr>
      </w:pPr>
      <w:bookmarkStart w:id="2" w:name="OLE_LINK1"/>
      <w:bookmarkStart w:id="3" w:name="OLE_LINK2"/>
      <w:bookmarkStart w:id="4" w:name="OLE_LINK3"/>
      <w:bookmarkStart w:id="5" w:name="OLE_LINK5"/>
      <w:bookmarkStart w:id="6" w:name="OLE_LINK4"/>
      <w:bookmarkStart w:id="7" w:name="OLE_LINK6"/>
      <w:bookmarkStart w:id="8" w:name="OLE_LINK7"/>
      <w:r>
        <w:rPr>
          <w:rFonts w:hint="eastAsia" w:ascii="宋体" w:hAnsi="宋体" w:cs="宋体"/>
          <w:sz w:val="28"/>
          <w:szCs w:val="28"/>
          <w:lang w:val="en-US" w:eastAsia="zh-CN"/>
        </w:rPr>
        <w:t>西站大道二期给水工程海星电子厂区段顶管专业分包项目</w:t>
      </w:r>
      <w:r>
        <w:rPr>
          <w:rFonts w:hint="eastAsia" w:ascii="宋体" w:hAnsi="宋体" w:cs="宋体"/>
          <w:sz w:val="28"/>
          <w:szCs w:val="28"/>
        </w:rPr>
        <w:t>招标公告（资格后审）</w:t>
      </w:r>
    </w:p>
    <w:p w14:paraId="4039DECF">
      <w:pPr>
        <w:pStyle w:val="3"/>
        <w:adjustRightInd w:val="0"/>
        <w:snapToGrid w:val="0"/>
        <w:spacing w:before="0" w:after="0" w:line="360" w:lineRule="exact"/>
        <w:rPr>
          <w:rFonts w:ascii="宋体" w:hAnsi="宋体" w:eastAsia="宋体"/>
          <w:sz w:val="21"/>
          <w:szCs w:val="21"/>
        </w:rPr>
      </w:pPr>
      <w:bookmarkStart w:id="9" w:name="_Toc389065122"/>
      <w:bookmarkStart w:id="10" w:name="_Toc498006632"/>
      <w:r>
        <w:rPr>
          <w:rFonts w:ascii="宋体" w:hAnsi="宋体" w:eastAsia="宋体" w:cs="宋体"/>
          <w:sz w:val="21"/>
          <w:szCs w:val="21"/>
        </w:rPr>
        <w:t xml:space="preserve">1. </w:t>
      </w:r>
      <w:r>
        <w:rPr>
          <w:rFonts w:hint="eastAsia" w:ascii="宋体" w:hAnsi="宋体" w:eastAsia="宋体" w:cs="宋体"/>
          <w:sz w:val="21"/>
          <w:szCs w:val="21"/>
        </w:rPr>
        <w:t>招标条件</w:t>
      </w:r>
      <w:bookmarkEnd w:id="9"/>
      <w:bookmarkEnd w:id="10"/>
    </w:p>
    <w:p w14:paraId="4AB64CF3">
      <w:pPr>
        <w:spacing w:line="360" w:lineRule="exact"/>
        <w:ind w:firstLine="420" w:firstLineChars="200"/>
        <w:jc w:val="left"/>
        <w:rPr>
          <w:rFonts w:ascii="宋体" w:hAnsi="宋体" w:cs="宋体"/>
        </w:rPr>
      </w:pPr>
      <w:r>
        <w:rPr>
          <w:rFonts w:hint="eastAsia" w:ascii="宋体" w:hAnsi="宋体" w:cs="宋体"/>
        </w:rPr>
        <w:t>本招标项目</w:t>
      </w:r>
      <w:r>
        <w:rPr>
          <w:rFonts w:hint="eastAsia" w:ascii="宋体" w:hAnsi="宋体" w:cs="宋体"/>
          <w:b/>
          <w:bCs/>
          <w:sz w:val="21"/>
          <w:szCs w:val="21"/>
          <w:u w:val="single"/>
          <w:lang w:val="en-US" w:eastAsia="zh-CN"/>
        </w:rPr>
        <w:t>西站大道二期给水工程海星电子厂区段顶管专业分包项目</w:t>
      </w:r>
      <w:r>
        <w:rPr>
          <w:rFonts w:hint="eastAsia" w:ascii="宋体" w:hAnsi="宋体" w:cs="宋体"/>
        </w:rPr>
        <w:t>已批准建设，招标人为</w:t>
      </w:r>
      <w:r>
        <w:rPr>
          <w:rFonts w:hint="eastAsia" w:ascii="宋体" w:hAnsi="宋体" w:cs="宋体"/>
          <w:b/>
          <w:u w:val="single"/>
        </w:rPr>
        <w:t>南通市通州区水务工程有限公司</w:t>
      </w:r>
      <w:r>
        <w:rPr>
          <w:rFonts w:hint="eastAsia" w:ascii="宋体" w:hAnsi="宋体" w:cs="宋体"/>
        </w:rPr>
        <w:t>，建设资金为</w:t>
      </w:r>
      <w:r>
        <w:rPr>
          <w:rFonts w:hint="eastAsia" w:ascii="宋体" w:hAnsi="宋体" w:cs="宋体"/>
          <w:b/>
          <w:u w:val="single"/>
        </w:rPr>
        <w:t>自筹</w:t>
      </w:r>
      <w:r>
        <w:rPr>
          <w:rFonts w:hint="eastAsia" w:ascii="宋体" w:hAnsi="宋体" w:cs="宋体"/>
        </w:rPr>
        <w:t>。项目已具备招标条件，现对该项目的顶管施工进行公开招标。</w:t>
      </w:r>
    </w:p>
    <w:p w14:paraId="59FBCCD7">
      <w:pPr>
        <w:pStyle w:val="3"/>
        <w:adjustRightInd w:val="0"/>
        <w:snapToGrid w:val="0"/>
        <w:spacing w:before="0" w:after="0" w:line="360" w:lineRule="exact"/>
        <w:rPr>
          <w:rFonts w:ascii="宋体" w:hAnsi="宋体" w:eastAsia="宋体" w:cs="宋体"/>
          <w:sz w:val="21"/>
          <w:szCs w:val="21"/>
        </w:rPr>
      </w:pPr>
      <w:bookmarkStart w:id="11" w:name="_Toc389065123"/>
      <w:bookmarkStart w:id="12" w:name="_Toc498006633"/>
      <w:r>
        <w:rPr>
          <w:rFonts w:ascii="宋体" w:hAnsi="宋体" w:eastAsia="宋体" w:cs="宋体"/>
          <w:sz w:val="21"/>
          <w:szCs w:val="21"/>
        </w:rPr>
        <w:t xml:space="preserve">2. </w:t>
      </w:r>
      <w:r>
        <w:rPr>
          <w:rFonts w:hint="eastAsia" w:ascii="宋体" w:hAnsi="宋体" w:eastAsia="宋体" w:cs="宋体"/>
          <w:sz w:val="21"/>
          <w:szCs w:val="21"/>
        </w:rPr>
        <w:t>项目概况与招标范围</w:t>
      </w:r>
      <w:bookmarkEnd w:id="11"/>
      <w:bookmarkEnd w:id="12"/>
    </w:p>
    <w:p w14:paraId="47B7C5B7">
      <w:pPr>
        <w:adjustRightInd w:val="0"/>
        <w:snapToGrid w:val="0"/>
        <w:spacing w:line="360" w:lineRule="exact"/>
        <w:ind w:firstLine="420" w:firstLineChars="200"/>
        <w:rPr>
          <w:rFonts w:ascii="宋体" w:hAnsi="宋体" w:cs="宋体"/>
        </w:rPr>
      </w:pPr>
      <w:r>
        <w:rPr>
          <w:rFonts w:ascii="宋体" w:hAnsi="宋体" w:cs="宋体"/>
        </w:rPr>
        <w:t>2.1</w:t>
      </w:r>
      <w:r>
        <w:rPr>
          <w:rFonts w:hint="eastAsia" w:ascii="宋体" w:hAnsi="宋体" w:cs="宋体"/>
        </w:rPr>
        <w:t>项目概况</w:t>
      </w:r>
    </w:p>
    <w:p w14:paraId="1966C7AD">
      <w:pPr>
        <w:adjustRightInd w:val="0"/>
        <w:snapToGrid w:val="0"/>
        <w:spacing w:line="360" w:lineRule="exact"/>
        <w:ind w:firstLine="422" w:firstLineChars="201"/>
        <w:rPr>
          <w:rFonts w:ascii="宋体" w:hAnsi="宋体" w:cs="宋体"/>
          <w:highlight w:val="none"/>
        </w:rPr>
      </w:pPr>
      <w:r>
        <w:rPr>
          <w:rFonts w:ascii="宋体" w:hAnsi="宋体" w:cs="宋体"/>
        </w:rPr>
        <w:t>2.1.1</w:t>
      </w:r>
      <w:r>
        <w:rPr>
          <w:rFonts w:hint="eastAsia" w:ascii="宋体" w:hAnsi="宋体" w:cs="宋体"/>
        </w:rPr>
        <w:t>建设地点：西站</w:t>
      </w:r>
      <w:r>
        <w:rPr>
          <w:rFonts w:hint="eastAsia" w:ascii="宋体" w:hAnsi="宋体" w:cs="宋体"/>
          <w:highlight w:val="none"/>
        </w:rPr>
        <w:t>大道二期给水工程海星电子厂区段。</w:t>
      </w:r>
    </w:p>
    <w:p w14:paraId="2A7396FB">
      <w:pPr>
        <w:adjustRightInd w:val="0"/>
        <w:snapToGrid w:val="0"/>
        <w:spacing w:line="360" w:lineRule="exact"/>
        <w:ind w:firstLine="420" w:firstLineChars="200"/>
        <w:rPr>
          <w:rFonts w:ascii="宋体" w:hAnsi="宋体" w:cs="宋体"/>
          <w:highlight w:val="none"/>
        </w:rPr>
      </w:pPr>
      <w:r>
        <w:rPr>
          <w:rFonts w:ascii="宋体" w:hAnsi="宋体" w:cs="宋体"/>
          <w:highlight w:val="none"/>
        </w:rPr>
        <w:t>2.1.2</w:t>
      </w:r>
      <w:r>
        <w:rPr>
          <w:rFonts w:hint="eastAsia" w:ascii="宋体" w:hAnsi="宋体" w:cs="宋体"/>
          <w:highlight w:val="none"/>
        </w:rPr>
        <w:t>建设规模：西站大道二期给水工程海星电子厂区段顶管</w:t>
      </w:r>
      <w:r>
        <w:rPr>
          <w:rFonts w:hint="eastAsia" w:ascii="宋体" w:hAnsi="宋体" w:cs="宋体"/>
          <w:highlight w:val="none"/>
          <w:lang w:val="en-US" w:eastAsia="zh-CN"/>
        </w:rPr>
        <w:t>施工</w:t>
      </w:r>
      <w:r>
        <w:rPr>
          <w:rFonts w:hint="eastAsia" w:ascii="宋体" w:hAnsi="宋体" w:cs="宋体"/>
          <w:highlight w:val="none"/>
        </w:rPr>
        <w:t>（含钢管两侧对拢）。</w:t>
      </w:r>
    </w:p>
    <w:p w14:paraId="6D699A3B">
      <w:pPr>
        <w:adjustRightInd w:val="0"/>
        <w:snapToGrid w:val="0"/>
        <w:spacing w:line="360" w:lineRule="exact"/>
        <w:ind w:firstLine="420" w:firstLineChars="200"/>
        <w:rPr>
          <w:rFonts w:ascii="宋体"/>
          <w:highlight w:val="none"/>
        </w:rPr>
      </w:pPr>
      <w:r>
        <w:rPr>
          <w:rFonts w:ascii="宋体" w:hAnsi="宋体" w:cs="宋体"/>
          <w:highlight w:val="none"/>
        </w:rPr>
        <w:t>2.1.3</w:t>
      </w:r>
      <w:r>
        <w:rPr>
          <w:rFonts w:hint="eastAsia" w:ascii="宋体" w:hAnsi="宋体" w:cs="宋体"/>
          <w:highlight w:val="none"/>
        </w:rPr>
        <w:t>最高限价：人民币</w:t>
      </w:r>
      <w:r>
        <w:rPr>
          <w:rFonts w:hint="eastAsia" w:ascii="宋体" w:hAnsi="宋体" w:cs="宋体"/>
          <w:highlight w:val="none"/>
          <w:u w:val="single"/>
        </w:rPr>
        <w:t xml:space="preserve">  </w:t>
      </w:r>
      <w:r>
        <w:rPr>
          <w:rFonts w:hint="eastAsia" w:ascii="宋体" w:hAnsi="宋体" w:cs="宋体"/>
          <w:highlight w:val="none"/>
          <w:u w:val="single"/>
          <w:lang w:val="en-US" w:eastAsia="zh-CN"/>
        </w:rPr>
        <w:t>382</w:t>
      </w:r>
      <w:r>
        <w:rPr>
          <w:rFonts w:hint="eastAsia" w:ascii="宋体" w:hAnsi="宋体" w:cs="宋体"/>
          <w:highlight w:val="none"/>
          <w:u w:val="single"/>
        </w:rPr>
        <w:t xml:space="preserve">  </w:t>
      </w:r>
      <w:r>
        <w:rPr>
          <w:rFonts w:hint="eastAsia" w:ascii="宋体" w:hAnsi="宋体" w:cs="宋体"/>
          <w:highlight w:val="none"/>
        </w:rPr>
        <w:t>万元。</w:t>
      </w:r>
    </w:p>
    <w:p w14:paraId="51A093E7">
      <w:pPr>
        <w:adjustRightInd w:val="0"/>
        <w:snapToGrid w:val="0"/>
        <w:spacing w:line="360" w:lineRule="exact"/>
        <w:ind w:firstLine="420" w:firstLineChars="200"/>
        <w:jc w:val="left"/>
        <w:rPr>
          <w:rFonts w:ascii="宋体" w:hAnsi="宋体" w:cs="宋体"/>
          <w:highlight w:val="none"/>
        </w:rPr>
      </w:pPr>
      <w:r>
        <w:rPr>
          <w:rFonts w:ascii="宋体" w:hAnsi="宋体" w:cs="宋体"/>
          <w:highlight w:val="none"/>
        </w:rPr>
        <w:t>2.1.4</w:t>
      </w:r>
      <w:r>
        <w:rPr>
          <w:rFonts w:hint="eastAsia" w:ascii="宋体" w:hAnsi="宋体" w:cs="宋体"/>
          <w:highlight w:val="none"/>
        </w:rPr>
        <w:t>工期要求：总工期</w:t>
      </w:r>
      <w:r>
        <w:rPr>
          <w:rFonts w:hint="eastAsia" w:ascii="宋体" w:hAnsi="宋体" w:cs="宋体"/>
          <w:highlight w:val="none"/>
          <w:lang w:val="en-US" w:eastAsia="zh-CN"/>
        </w:rPr>
        <w:t>150</w:t>
      </w:r>
      <w:r>
        <w:rPr>
          <w:rFonts w:ascii="宋体" w:hAnsi="宋体" w:cs="宋体"/>
          <w:highlight w:val="none"/>
        </w:rPr>
        <w:t>日历天</w:t>
      </w:r>
      <w:r>
        <w:rPr>
          <w:rFonts w:hint="eastAsia" w:ascii="宋体" w:hAnsi="宋体" w:cs="宋体"/>
          <w:highlight w:val="none"/>
        </w:rPr>
        <w:t>（含不可预知的停工、阻工时间，不可抗力引起的延期除外）。</w:t>
      </w:r>
    </w:p>
    <w:p w14:paraId="68DE5CFC">
      <w:pPr>
        <w:adjustRightInd w:val="0"/>
        <w:snapToGrid w:val="0"/>
        <w:spacing w:line="360" w:lineRule="exact"/>
        <w:ind w:firstLine="420" w:firstLineChars="200"/>
        <w:rPr>
          <w:rFonts w:ascii="宋体" w:hAnsi="宋体"/>
          <w:bCs/>
          <w:highlight w:val="none"/>
        </w:rPr>
      </w:pPr>
      <w:r>
        <w:rPr>
          <w:rFonts w:ascii="宋体" w:hAnsi="宋体" w:cs="宋体"/>
          <w:highlight w:val="none"/>
        </w:rPr>
        <w:t>2.2</w:t>
      </w:r>
      <w:r>
        <w:rPr>
          <w:rFonts w:hint="eastAsia" w:ascii="宋体" w:hAnsi="宋体" w:cs="宋体"/>
          <w:highlight w:val="none"/>
        </w:rPr>
        <w:t>招标范围：</w:t>
      </w:r>
      <w:r>
        <w:rPr>
          <w:rFonts w:hint="eastAsia" w:ascii="宋体" w:hAnsi="宋体" w:cs="宋体"/>
          <w:kern w:val="0"/>
          <w:highlight w:val="none"/>
        </w:rPr>
        <w:t>施工图所含全部内容，工程量清单仅供参考</w:t>
      </w:r>
      <w:r>
        <w:rPr>
          <w:rFonts w:hint="eastAsia" w:ascii="宋体" w:hAnsi="宋体" w:cs="宋体"/>
          <w:highlight w:val="none"/>
        </w:rPr>
        <w:t>。</w:t>
      </w:r>
    </w:p>
    <w:p w14:paraId="53DD8BC3">
      <w:pPr>
        <w:pStyle w:val="3"/>
        <w:adjustRightInd w:val="0"/>
        <w:snapToGrid w:val="0"/>
        <w:spacing w:before="0" w:after="0" w:line="360" w:lineRule="exact"/>
        <w:rPr>
          <w:rFonts w:ascii="宋体" w:hAnsi="宋体" w:eastAsia="宋体" w:cs="宋体"/>
          <w:sz w:val="21"/>
          <w:szCs w:val="21"/>
          <w:highlight w:val="none"/>
        </w:rPr>
      </w:pPr>
      <w:bookmarkStart w:id="13" w:name="_Toc498006634"/>
      <w:bookmarkStart w:id="14" w:name="_Toc389065124"/>
      <w:r>
        <w:rPr>
          <w:rFonts w:ascii="宋体" w:hAnsi="宋体" w:eastAsia="宋体" w:cs="宋体"/>
          <w:sz w:val="21"/>
          <w:szCs w:val="21"/>
          <w:highlight w:val="none"/>
        </w:rPr>
        <w:t xml:space="preserve">3. </w:t>
      </w:r>
      <w:r>
        <w:rPr>
          <w:rFonts w:hint="eastAsia" w:ascii="宋体" w:hAnsi="宋体" w:eastAsia="宋体" w:cs="宋体"/>
          <w:sz w:val="21"/>
          <w:szCs w:val="21"/>
          <w:highlight w:val="none"/>
        </w:rPr>
        <w:t>投标人资格要求</w:t>
      </w:r>
      <w:bookmarkEnd w:id="13"/>
      <w:bookmarkEnd w:id="14"/>
    </w:p>
    <w:p w14:paraId="18958D79">
      <w:pPr>
        <w:adjustRightInd w:val="0"/>
        <w:snapToGrid w:val="0"/>
        <w:spacing w:line="360" w:lineRule="exact"/>
        <w:ind w:firstLine="420" w:firstLineChars="200"/>
        <w:rPr>
          <w:rFonts w:ascii="ˎ̥" w:hAnsi="ˎ̥" w:cs="Arial"/>
          <w:b/>
          <w:kern w:val="0"/>
          <w:highlight w:val="none"/>
        </w:rPr>
      </w:pPr>
      <w:r>
        <w:rPr>
          <w:rFonts w:ascii="宋体" w:hAnsi="宋体" w:cs="宋体"/>
          <w:highlight w:val="none"/>
        </w:rPr>
        <w:t>3.1</w:t>
      </w:r>
      <w:r>
        <w:rPr>
          <w:rFonts w:hint="eastAsia" w:ascii="宋体" w:hAnsi="宋体" w:cs="宋体"/>
          <w:highlight w:val="none"/>
        </w:rPr>
        <w:t>投标人须具备：</w:t>
      </w:r>
      <w:r>
        <w:rPr>
          <w:rFonts w:hint="eastAsia" w:ascii="宋体" w:hAnsi="宋体" w:cs="宋体"/>
          <w:b/>
          <w:bCs/>
          <w:highlight w:val="none"/>
        </w:rPr>
        <w:t>市政公用工程施工总承包</w:t>
      </w:r>
      <w:r>
        <w:rPr>
          <w:rFonts w:hint="eastAsia" w:ascii="宋体" w:hAnsi="宋体" w:cs="宋体"/>
          <w:b/>
          <w:bCs/>
          <w:highlight w:val="none"/>
          <w:lang w:eastAsia="zh-CN"/>
        </w:rPr>
        <w:t>贰</w:t>
      </w:r>
      <w:r>
        <w:rPr>
          <w:rFonts w:hint="eastAsia" w:ascii="宋体" w:hAnsi="宋体" w:cs="宋体"/>
          <w:b/>
          <w:bCs/>
          <w:highlight w:val="none"/>
        </w:rPr>
        <w:t>级及以上资质，并在人员、设备、资金等方面具有相应的施工能力</w:t>
      </w:r>
      <w:r>
        <w:rPr>
          <w:rFonts w:hint="eastAsia" w:ascii="ˎ̥" w:hAnsi="ˎ̥" w:cs="Arial"/>
          <w:b/>
          <w:kern w:val="0"/>
          <w:highlight w:val="none"/>
        </w:rPr>
        <w:t>；</w:t>
      </w:r>
    </w:p>
    <w:p w14:paraId="47B472A1">
      <w:pPr>
        <w:adjustRightInd w:val="0"/>
        <w:snapToGrid w:val="0"/>
        <w:spacing w:line="360" w:lineRule="exact"/>
        <w:ind w:firstLine="420" w:firstLineChars="200"/>
        <w:rPr>
          <w:rFonts w:ascii="ˎ̥" w:hAnsi="ˎ̥" w:cs="Arial"/>
          <w:b/>
          <w:kern w:val="0"/>
          <w:highlight w:val="none"/>
        </w:rPr>
      </w:pPr>
      <w:r>
        <w:rPr>
          <w:rFonts w:ascii="宋体" w:hAnsi="宋体" w:cs="宋体"/>
          <w:highlight w:val="none"/>
        </w:rPr>
        <w:t>3.2</w:t>
      </w:r>
      <w:r>
        <w:rPr>
          <w:rFonts w:hint="eastAsia" w:ascii="宋体" w:hAnsi="宋体" w:cs="宋体"/>
          <w:highlight w:val="none"/>
        </w:rPr>
        <w:t>投标人拟派项目负责人须</w:t>
      </w:r>
      <w:r>
        <w:rPr>
          <w:rFonts w:hint="eastAsia" w:ascii="宋体" w:hAnsi="宋体" w:cs="宋体"/>
          <w:b/>
          <w:highlight w:val="none"/>
        </w:rPr>
        <w:t>具备</w:t>
      </w:r>
      <w:r>
        <w:rPr>
          <w:rFonts w:hint="eastAsia" w:ascii="ˎ̥" w:hAnsi="ˎ̥" w:cs="Arial"/>
          <w:b/>
          <w:kern w:val="0"/>
          <w:highlight w:val="none"/>
        </w:rPr>
        <w:t>市政公用工程专业贰级及以上注册建造师且同时需持有安全考核合格B证；</w:t>
      </w:r>
    </w:p>
    <w:p w14:paraId="0FC111FB">
      <w:pPr>
        <w:adjustRightInd w:val="0"/>
        <w:snapToGrid w:val="0"/>
        <w:spacing w:line="360" w:lineRule="exact"/>
        <w:ind w:firstLine="420" w:firstLineChars="200"/>
        <w:rPr>
          <w:rFonts w:ascii="宋体"/>
          <w:b/>
          <w:bCs/>
          <w:highlight w:val="none"/>
          <w:u w:val="single"/>
        </w:rPr>
      </w:pPr>
      <w:r>
        <w:rPr>
          <w:rFonts w:hint="eastAsia" w:ascii="宋体" w:hAnsi="宋体" w:cs="宋体"/>
          <w:highlight w:val="none"/>
        </w:rPr>
        <w:t>项目负责人必须满足下列条件：</w:t>
      </w:r>
    </w:p>
    <w:p w14:paraId="6545F76A">
      <w:pPr>
        <w:adjustRightInd w:val="0"/>
        <w:snapToGrid w:val="0"/>
        <w:spacing w:line="360" w:lineRule="exact"/>
        <w:ind w:firstLine="424" w:firstLineChars="202"/>
        <w:rPr>
          <w:rFonts w:ascii="宋体"/>
          <w:highlight w:val="none"/>
        </w:rPr>
      </w:pPr>
      <w:r>
        <w:rPr>
          <w:rFonts w:hint="eastAsia" w:ascii="宋体" w:hAnsi="宋体" w:cs="宋体"/>
          <w:highlight w:val="none"/>
        </w:rPr>
        <w:t>（</w:t>
      </w:r>
      <w:r>
        <w:rPr>
          <w:rFonts w:ascii="宋体" w:hAnsi="宋体" w:cs="宋体"/>
          <w:highlight w:val="none"/>
        </w:rPr>
        <w:t>1</w:t>
      </w:r>
      <w:r>
        <w:rPr>
          <w:rFonts w:hint="eastAsia" w:ascii="宋体" w:hAnsi="宋体" w:cs="宋体"/>
          <w:highlight w:val="none"/>
        </w:rPr>
        <w:t>）项目负责人不得同时在两个或者两个以上单位受聘或者执业。</w:t>
      </w:r>
    </w:p>
    <w:p w14:paraId="5CA0E18F">
      <w:pPr>
        <w:adjustRightInd w:val="0"/>
        <w:snapToGrid w:val="0"/>
        <w:spacing w:line="360" w:lineRule="exact"/>
        <w:ind w:left="525" w:leftChars="250"/>
        <w:rPr>
          <w:rFonts w:ascii="宋体"/>
          <w:highlight w:val="none"/>
        </w:rPr>
      </w:pPr>
      <w:r>
        <w:rPr>
          <w:rFonts w:ascii="宋体" w:hAnsi="宋体" w:cs="宋体"/>
          <w:highlight w:val="none"/>
        </w:rPr>
        <w:t>a</w:t>
      </w:r>
      <w:r>
        <w:rPr>
          <w:rFonts w:hint="eastAsia" w:ascii="宋体" w:hAnsi="宋体" w:cs="宋体"/>
          <w:highlight w:val="none"/>
        </w:rPr>
        <w:t>、同时在两个及以上单位签订劳动合同或交纳社会保险；</w:t>
      </w:r>
      <w:r>
        <w:rPr>
          <w:rFonts w:ascii="宋体"/>
          <w:highlight w:val="none"/>
        </w:rPr>
        <w:br w:type="textWrapping"/>
      </w:r>
      <w:r>
        <w:rPr>
          <w:rFonts w:ascii="宋体" w:hAnsi="宋体" w:cs="宋体"/>
          <w:highlight w:val="none"/>
        </w:rPr>
        <w:t>b</w:t>
      </w:r>
      <w:r>
        <w:rPr>
          <w:rFonts w:hint="eastAsia" w:ascii="宋体" w:hAnsi="宋体" w:cs="宋体"/>
          <w:highlight w:val="none"/>
        </w:rPr>
        <w:t>、将本人执（职）业资格证书同时注册在两个及以上单位。</w:t>
      </w:r>
    </w:p>
    <w:p w14:paraId="4BB81476">
      <w:pPr>
        <w:adjustRightInd w:val="0"/>
        <w:snapToGrid w:val="0"/>
        <w:spacing w:line="360" w:lineRule="exact"/>
        <w:ind w:firstLine="426" w:firstLineChars="202"/>
        <w:rPr>
          <w:rFonts w:ascii="宋体" w:hAnsi="宋体" w:cs="宋体"/>
          <w:b/>
          <w:highlight w:val="none"/>
        </w:rPr>
      </w:pPr>
      <w:r>
        <w:rPr>
          <w:rFonts w:hint="eastAsia" w:ascii="宋体" w:hAnsi="宋体" w:cs="宋体"/>
          <w:b/>
          <w:highlight w:val="none"/>
        </w:rPr>
        <w:t>（</w:t>
      </w:r>
      <w:r>
        <w:rPr>
          <w:rFonts w:hint="eastAsia" w:ascii="宋体" w:hAnsi="宋体" w:cs="宋体"/>
          <w:b/>
          <w:highlight w:val="none"/>
          <w:lang w:val="en-US" w:eastAsia="zh-CN"/>
        </w:rPr>
        <w:t>2</w:t>
      </w:r>
      <w:r>
        <w:rPr>
          <w:rFonts w:hint="eastAsia" w:ascii="宋体" w:hAnsi="宋体" w:cs="宋体"/>
          <w:b/>
          <w:highlight w:val="none"/>
        </w:rPr>
        <w:t>）根据《住房和城乡建设部办公厅关于全面实行一级建造师电子注册证书的通知》(建办市〔2021〕40 号)的规定，自 2022 年 1 月 1 日起，一级建造师统一使用电子证书，纸质注册证书作废。投标人拟派项目负责人为一级建造师的，则须提供符合建办市(2021)40 号文件要求的电子注册证书，并应在个人签名处手写本人签名，未提供电子证书或未手写签名或手写签名与签名图像笔迹不一致的,该电子证书无效,视为项目负责人的资格不符合要求。</w:t>
      </w:r>
    </w:p>
    <w:p w14:paraId="6A6DE9D5">
      <w:pPr>
        <w:adjustRightInd w:val="0"/>
        <w:snapToGrid w:val="0"/>
        <w:spacing w:line="360" w:lineRule="exact"/>
        <w:ind w:firstLine="424" w:firstLineChars="202"/>
        <w:rPr>
          <w:rFonts w:ascii="宋体" w:hAnsi="宋体" w:cs="宋体"/>
          <w:highlight w:val="none"/>
        </w:rPr>
      </w:pPr>
      <w:r>
        <w:rPr>
          <w:rFonts w:hint="eastAsia" w:ascii="宋体" w:hAnsi="宋体" w:cs="宋体"/>
          <w:highlight w:val="none"/>
        </w:rPr>
        <w:t>3.3投标人业绩要求：</w:t>
      </w:r>
      <w:r>
        <w:rPr>
          <w:rFonts w:hint="eastAsia" w:ascii="宋体" w:hAnsi="宋体" w:cs="宋体"/>
          <w:b/>
          <w:highlight w:val="none"/>
        </w:rPr>
        <w:t>201</w:t>
      </w:r>
      <w:r>
        <w:rPr>
          <w:rFonts w:hint="eastAsia" w:ascii="宋体" w:hAnsi="宋体" w:cs="宋体"/>
          <w:b/>
          <w:highlight w:val="none"/>
          <w:lang w:val="en-US" w:eastAsia="zh-CN"/>
        </w:rPr>
        <w:t>9</w:t>
      </w:r>
      <w:r>
        <w:rPr>
          <w:rFonts w:hint="eastAsia" w:ascii="宋体" w:hAnsi="宋体" w:cs="宋体"/>
          <w:b/>
          <w:highlight w:val="none"/>
        </w:rPr>
        <w:t>年</w:t>
      </w:r>
      <w:r>
        <w:rPr>
          <w:rFonts w:hint="eastAsia" w:ascii="宋体" w:hAnsi="宋体" w:cs="宋体"/>
          <w:b/>
          <w:highlight w:val="none"/>
          <w:lang w:val="en-US" w:eastAsia="zh-CN"/>
        </w:rPr>
        <w:t>11</w:t>
      </w:r>
      <w:r>
        <w:rPr>
          <w:rFonts w:hint="eastAsia" w:ascii="宋体" w:hAnsi="宋体" w:cs="宋体"/>
          <w:b/>
          <w:highlight w:val="none"/>
        </w:rPr>
        <w:t>月1日以来（以签订合同时间为准），投标企业承担过DN</w:t>
      </w:r>
      <w:r>
        <w:rPr>
          <w:rFonts w:hint="eastAsia" w:ascii="宋体" w:hAnsi="宋体" w:cs="宋体"/>
          <w:b/>
          <w:highlight w:val="none"/>
          <w:lang w:val="en-US" w:eastAsia="zh-CN"/>
        </w:rPr>
        <w:t>10</w:t>
      </w:r>
      <w:r>
        <w:rPr>
          <w:rFonts w:hint="eastAsia" w:ascii="宋体" w:hAnsi="宋体" w:cs="宋体"/>
          <w:b/>
          <w:highlight w:val="none"/>
        </w:rPr>
        <w:t>00及以上（含DN</w:t>
      </w:r>
      <w:r>
        <w:rPr>
          <w:rFonts w:hint="eastAsia" w:ascii="宋体" w:hAnsi="宋体" w:cs="宋体"/>
          <w:b/>
          <w:highlight w:val="none"/>
          <w:lang w:val="en-US" w:eastAsia="zh-CN"/>
        </w:rPr>
        <w:t>10</w:t>
      </w:r>
      <w:r>
        <w:rPr>
          <w:rFonts w:hint="eastAsia" w:ascii="宋体" w:hAnsi="宋体" w:cs="宋体"/>
          <w:b/>
          <w:highlight w:val="none"/>
        </w:rPr>
        <w:t>00）且长度5</w:t>
      </w:r>
      <w:r>
        <w:rPr>
          <w:rFonts w:ascii="宋体" w:hAnsi="宋体" w:cs="宋体"/>
          <w:b/>
          <w:highlight w:val="none"/>
        </w:rPr>
        <w:t>0</w:t>
      </w:r>
      <w:r>
        <w:rPr>
          <w:rFonts w:hint="eastAsia" w:ascii="宋体" w:hAnsi="宋体" w:cs="宋体"/>
          <w:b/>
          <w:highlight w:val="none"/>
        </w:rPr>
        <w:t>米及以上（含50米）顶管业绩（提供中标通知书、合同、竣工验收证明及能体现管道直径的证明材料，以上材料缺一不可）。</w:t>
      </w:r>
    </w:p>
    <w:p w14:paraId="347FA714">
      <w:pPr>
        <w:adjustRightInd w:val="0"/>
        <w:snapToGrid w:val="0"/>
        <w:spacing w:line="360" w:lineRule="exact"/>
        <w:ind w:firstLine="424" w:firstLineChars="202"/>
        <w:rPr>
          <w:rFonts w:ascii="宋体"/>
          <w:highlight w:val="none"/>
        </w:rPr>
      </w:pPr>
      <w:bookmarkStart w:id="15" w:name="_Toc389065125"/>
      <w:bookmarkStart w:id="16" w:name="_Toc498006635"/>
      <w:r>
        <w:rPr>
          <w:rFonts w:ascii="宋体" w:hAnsi="宋体" w:cs="宋体"/>
          <w:highlight w:val="none"/>
        </w:rPr>
        <w:t>3.</w:t>
      </w:r>
      <w:r>
        <w:rPr>
          <w:rFonts w:hint="eastAsia" w:ascii="宋体" w:hAnsi="宋体" w:cs="宋体"/>
          <w:highlight w:val="none"/>
        </w:rPr>
        <w:t>4投标人及拟派项目负责人应具备其他要求：</w:t>
      </w:r>
    </w:p>
    <w:p w14:paraId="33BCEE24">
      <w:pPr>
        <w:adjustRightInd w:val="0"/>
        <w:snapToGrid w:val="0"/>
        <w:spacing w:line="360" w:lineRule="exact"/>
        <w:ind w:firstLine="424" w:firstLineChars="202"/>
        <w:rPr>
          <w:rFonts w:ascii="宋体"/>
          <w:highlight w:val="none"/>
        </w:rPr>
      </w:pPr>
      <w:r>
        <w:rPr>
          <w:rFonts w:hint="eastAsia" w:ascii="宋体" w:hAnsi="宋体" w:cs="宋体"/>
          <w:highlight w:val="none"/>
        </w:rPr>
        <w:t>（1）自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日以来，企业和拟派项目负责人没有因串通投标、弄虚作假、以他人名义投标、骗取中标、转包、违法分包等违法行为受到建设等有关部门行政处罚的；</w:t>
      </w:r>
    </w:p>
    <w:p w14:paraId="7FD7915D">
      <w:pPr>
        <w:adjustRightInd w:val="0"/>
        <w:snapToGrid w:val="0"/>
        <w:spacing w:line="360" w:lineRule="exact"/>
        <w:ind w:firstLine="422" w:firstLineChars="201"/>
        <w:rPr>
          <w:rFonts w:ascii="宋体"/>
          <w:highlight w:val="none"/>
        </w:rPr>
      </w:pPr>
      <w:r>
        <w:rPr>
          <w:rFonts w:hint="eastAsia" w:ascii="宋体" w:hAnsi="宋体" w:cs="宋体"/>
          <w:highlight w:val="none"/>
        </w:rPr>
        <w:t>（2）自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日以来，企业没有无正当理由放弃中标资格（不含项目负责人多投多中后放弃）、不与招标人订立合同、拒不提供履约担保情形的；</w:t>
      </w:r>
    </w:p>
    <w:p w14:paraId="6DCA60F1">
      <w:pPr>
        <w:adjustRightInd w:val="0"/>
        <w:snapToGrid w:val="0"/>
        <w:spacing w:line="360" w:lineRule="exact"/>
        <w:ind w:firstLine="422" w:firstLineChars="201"/>
        <w:rPr>
          <w:rFonts w:ascii="宋体" w:hAnsi="宋体" w:cs="宋体"/>
          <w:highlight w:val="none"/>
        </w:rPr>
      </w:pPr>
      <w:r>
        <w:rPr>
          <w:rFonts w:hint="eastAsia" w:ascii="宋体" w:hAnsi="宋体" w:cs="宋体"/>
          <w:highlight w:val="none"/>
        </w:rPr>
        <w:t>（3）自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日以来，企业没有因拖欠工人工资被招标项目所在地省、市、县（市、区）建设行政主管部门通报批评的；</w:t>
      </w:r>
    </w:p>
    <w:p w14:paraId="0B511346">
      <w:pPr>
        <w:adjustRightInd w:val="0"/>
        <w:snapToGrid w:val="0"/>
        <w:spacing w:line="360" w:lineRule="exact"/>
        <w:ind w:firstLine="422" w:firstLineChars="201"/>
        <w:rPr>
          <w:rFonts w:ascii="宋体"/>
          <w:highlight w:val="none"/>
        </w:rPr>
      </w:pPr>
      <w:r>
        <w:rPr>
          <w:rFonts w:hint="eastAsia" w:ascii="宋体" w:hAnsi="宋体" w:cs="宋体"/>
          <w:highlight w:val="none"/>
        </w:rPr>
        <w:t>（4）没有被最高人民法院在“信用中国”网站或各级信用信息共享平台中列入失信被执行人名单的，在全国企业信用信息公示系统中未被列入严重违法失信企业名单的。</w:t>
      </w:r>
    </w:p>
    <w:p w14:paraId="53B6726A">
      <w:pPr>
        <w:adjustRightInd w:val="0"/>
        <w:snapToGrid w:val="0"/>
        <w:spacing w:line="360" w:lineRule="exact"/>
        <w:ind w:firstLine="315" w:firstLineChars="150"/>
        <w:rPr>
          <w:rFonts w:ascii="宋体"/>
          <w:highlight w:val="none"/>
        </w:rPr>
      </w:pPr>
      <w:r>
        <w:rPr>
          <w:rFonts w:ascii="宋体" w:hAnsi="宋体" w:cs="宋体"/>
          <w:highlight w:val="none"/>
        </w:rPr>
        <w:t>3.</w:t>
      </w:r>
      <w:r>
        <w:rPr>
          <w:rFonts w:hint="eastAsia" w:ascii="宋体" w:hAnsi="宋体" w:cs="宋体"/>
          <w:highlight w:val="none"/>
        </w:rPr>
        <w:t>5投标人不得有招标文件第二章投标人须知第</w:t>
      </w:r>
      <w:r>
        <w:rPr>
          <w:rFonts w:ascii="宋体" w:hAnsi="宋体" w:cs="宋体"/>
          <w:highlight w:val="none"/>
        </w:rPr>
        <w:t>1.4.3</w:t>
      </w:r>
      <w:r>
        <w:rPr>
          <w:rFonts w:hint="eastAsia" w:ascii="宋体" w:hAnsi="宋体" w:cs="宋体"/>
          <w:highlight w:val="none"/>
        </w:rPr>
        <w:t>项规定的情形。</w:t>
      </w:r>
    </w:p>
    <w:p w14:paraId="720C4456">
      <w:pPr>
        <w:adjustRightInd w:val="0"/>
        <w:snapToGrid w:val="0"/>
        <w:spacing w:line="360" w:lineRule="exact"/>
        <w:ind w:firstLine="316" w:firstLineChars="150"/>
        <w:rPr>
          <w:rFonts w:ascii="宋体"/>
          <w:b/>
          <w:bCs/>
          <w:highlight w:val="none"/>
        </w:rPr>
      </w:pPr>
      <w:r>
        <w:rPr>
          <w:rFonts w:ascii="宋体" w:hAnsi="宋体" w:cs="宋体"/>
          <w:b/>
          <w:bCs/>
          <w:highlight w:val="none"/>
        </w:rPr>
        <w:t>3.</w:t>
      </w:r>
      <w:r>
        <w:rPr>
          <w:rFonts w:hint="eastAsia" w:ascii="宋体" w:hAnsi="宋体" w:cs="宋体"/>
          <w:b/>
          <w:bCs/>
          <w:highlight w:val="none"/>
        </w:rPr>
        <w:t>6本次招标不接受联合体投标。</w:t>
      </w:r>
    </w:p>
    <w:p w14:paraId="65EA1D31">
      <w:pPr>
        <w:pStyle w:val="3"/>
        <w:adjustRightInd w:val="0"/>
        <w:snapToGrid w:val="0"/>
        <w:spacing w:before="0" w:after="0" w:line="360" w:lineRule="exact"/>
        <w:rPr>
          <w:rFonts w:ascii="宋体" w:hAnsi="宋体" w:eastAsia="宋体" w:cs="宋体"/>
          <w:sz w:val="21"/>
          <w:szCs w:val="21"/>
          <w:highlight w:val="none"/>
        </w:rPr>
      </w:pPr>
      <w:r>
        <w:rPr>
          <w:rFonts w:ascii="宋体" w:hAnsi="宋体" w:eastAsia="宋体" w:cs="宋体"/>
          <w:sz w:val="21"/>
          <w:szCs w:val="21"/>
          <w:highlight w:val="none"/>
        </w:rPr>
        <w:t xml:space="preserve">4. </w:t>
      </w:r>
      <w:bookmarkEnd w:id="15"/>
      <w:bookmarkStart w:id="17" w:name="_Toc389065126"/>
      <w:r>
        <w:rPr>
          <w:rFonts w:hint="eastAsia" w:ascii="宋体" w:hAnsi="宋体" w:eastAsia="宋体" w:cs="宋体"/>
          <w:sz w:val="21"/>
          <w:szCs w:val="21"/>
          <w:highlight w:val="none"/>
        </w:rPr>
        <w:t>招标文件的获取</w:t>
      </w:r>
      <w:bookmarkEnd w:id="16"/>
      <w:bookmarkEnd w:id="17"/>
    </w:p>
    <w:p w14:paraId="09AE8630">
      <w:pPr>
        <w:adjustRightInd w:val="0"/>
        <w:snapToGrid w:val="0"/>
        <w:spacing w:line="360" w:lineRule="exact"/>
        <w:rPr>
          <w:rFonts w:ascii="宋体"/>
          <w:kern w:val="0"/>
          <w:highlight w:val="none"/>
        </w:rPr>
      </w:pPr>
      <w:r>
        <w:rPr>
          <w:rFonts w:ascii="宋体" w:hAnsi="宋体" w:cs="宋体"/>
          <w:kern w:val="0"/>
          <w:highlight w:val="none"/>
        </w:rPr>
        <w:t>4.1</w:t>
      </w:r>
      <w:r>
        <w:rPr>
          <w:rFonts w:hint="eastAsia" w:ascii="宋体" w:hAnsi="宋体" w:cs="宋体"/>
          <w:kern w:val="0"/>
          <w:highlight w:val="none"/>
        </w:rPr>
        <w:t>招标文件获取时间为：</w:t>
      </w:r>
      <w:r>
        <w:rPr>
          <w:rFonts w:ascii="宋体" w:hAnsi="宋体" w:cs="宋体"/>
          <w:kern w:val="0"/>
          <w:highlight w:val="none"/>
          <w:u w:val="single"/>
        </w:rPr>
        <w:t>202</w:t>
      </w:r>
      <w:r>
        <w:rPr>
          <w:rFonts w:hint="eastAsia" w:ascii="宋体" w:hAnsi="宋体" w:cs="宋体"/>
          <w:kern w:val="0"/>
          <w:highlight w:val="none"/>
          <w:u w:val="single"/>
          <w:lang w:val="en-US" w:eastAsia="zh-CN"/>
        </w:rPr>
        <w:t>5</w:t>
      </w:r>
      <w:r>
        <w:rPr>
          <w:rFonts w:hint="eastAsia" w:ascii="宋体" w:hAnsi="宋体" w:cs="宋体"/>
          <w:kern w:val="0"/>
          <w:highlight w:val="none"/>
        </w:rPr>
        <w:t>年</w:t>
      </w:r>
      <w:r>
        <w:rPr>
          <w:rFonts w:hint="eastAsia" w:ascii="宋体" w:hAnsi="宋体" w:cs="宋体"/>
          <w:kern w:val="0"/>
          <w:highlight w:val="none"/>
          <w:lang w:val="en-US" w:eastAsia="zh-CN"/>
        </w:rPr>
        <w:t>2</w:t>
      </w:r>
      <w:r>
        <w:rPr>
          <w:rFonts w:hint="eastAsia" w:ascii="宋体" w:hAnsi="宋体" w:cs="宋体"/>
          <w:kern w:val="0"/>
          <w:highlight w:val="none"/>
        </w:rPr>
        <w:t>月</w:t>
      </w:r>
      <w:r>
        <w:rPr>
          <w:rFonts w:hint="eastAsia" w:ascii="宋体" w:hAnsi="宋体" w:cs="宋体"/>
          <w:kern w:val="0"/>
          <w:highlight w:val="none"/>
          <w:u w:val="single"/>
          <w:lang w:val="en-US" w:eastAsia="zh-CN"/>
        </w:rPr>
        <w:t>26</w:t>
      </w:r>
      <w:r>
        <w:rPr>
          <w:rFonts w:hint="eastAsia" w:ascii="宋体" w:hAnsi="宋体" w:cs="宋体"/>
          <w:kern w:val="0"/>
          <w:highlight w:val="none"/>
        </w:rPr>
        <w:t>日至</w:t>
      </w:r>
      <w:r>
        <w:rPr>
          <w:rFonts w:ascii="宋体" w:hAnsi="宋体" w:cs="宋体"/>
          <w:kern w:val="0"/>
          <w:highlight w:val="none"/>
          <w:u w:val="single"/>
        </w:rPr>
        <w:t>202</w:t>
      </w:r>
      <w:r>
        <w:rPr>
          <w:rFonts w:hint="eastAsia" w:ascii="宋体" w:hAnsi="宋体" w:cs="宋体"/>
          <w:kern w:val="0"/>
          <w:highlight w:val="none"/>
          <w:u w:val="single"/>
          <w:lang w:val="en-US" w:eastAsia="zh-CN"/>
        </w:rPr>
        <w:t>5</w:t>
      </w:r>
      <w:r>
        <w:rPr>
          <w:rFonts w:hint="eastAsia" w:ascii="宋体" w:hAnsi="宋体" w:cs="宋体"/>
          <w:kern w:val="0"/>
          <w:highlight w:val="none"/>
        </w:rPr>
        <w:t>年</w:t>
      </w:r>
      <w:r>
        <w:rPr>
          <w:rFonts w:hint="eastAsia" w:ascii="宋体" w:hAnsi="宋体" w:cs="宋体"/>
          <w:kern w:val="0"/>
          <w:highlight w:val="none"/>
          <w:lang w:val="en-US" w:eastAsia="zh-CN"/>
        </w:rPr>
        <w:t>3</w:t>
      </w:r>
      <w:r>
        <w:rPr>
          <w:rFonts w:hint="eastAsia" w:ascii="宋体" w:hAnsi="宋体" w:cs="宋体"/>
          <w:kern w:val="0"/>
          <w:highlight w:val="none"/>
        </w:rPr>
        <w:t>月</w:t>
      </w:r>
      <w:r>
        <w:rPr>
          <w:rFonts w:hint="eastAsia" w:ascii="宋体" w:hAnsi="宋体" w:cs="宋体"/>
          <w:kern w:val="0"/>
          <w:highlight w:val="none"/>
          <w:u w:val="single"/>
          <w:lang w:val="en-US" w:eastAsia="zh-CN"/>
        </w:rPr>
        <w:t>10</w:t>
      </w:r>
      <w:r>
        <w:rPr>
          <w:rFonts w:hint="eastAsia" w:ascii="宋体" w:hAnsi="宋体" w:cs="宋体"/>
          <w:kern w:val="0"/>
          <w:highlight w:val="none"/>
        </w:rPr>
        <w:t>日</w:t>
      </w:r>
      <w:r>
        <w:rPr>
          <w:rFonts w:hint="eastAsia" w:ascii="宋体" w:hAnsi="宋体" w:cs="宋体"/>
          <w:kern w:val="0"/>
          <w:highlight w:val="none"/>
          <w:u w:val="single"/>
          <w:lang w:val="en-US" w:eastAsia="zh-CN"/>
        </w:rPr>
        <w:t>14</w:t>
      </w:r>
      <w:r>
        <w:rPr>
          <w:rFonts w:hint="eastAsia" w:ascii="宋体" w:hAnsi="宋体" w:cs="宋体"/>
          <w:kern w:val="0"/>
          <w:highlight w:val="none"/>
        </w:rPr>
        <w:t>时</w:t>
      </w:r>
      <w:r>
        <w:rPr>
          <w:rFonts w:hint="eastAsia" w:ascii="宋体" w:hAnsi="宋体" w:cs="宋体"/>
          <w:kern w:val="0"/>
          <w:highlight w:val="none"/>
          <w:u w:val="single"/>
          <w:lang w:val="en-US" w:eastAsia="zh-CN"/>
        </w:rPr>
        <w:t>0</w:t>
      </w:r>
      <w:r>
        <w:rPr>
          <w:rFonts w:hint="eastAsia" w:ascii="宋体" w:hAnsi="宋体" w:cs="宋体"/>
          <w:kern w:val="0"/>
          <w:highlight w:val="none"/>
          <w:u w:val="single"/>
        </w:rPr>
        <w:t>0分</w:t>
      </w:r>
      <w:r>
        <w:rPr>
          <w:rFonts w:hint="eastAsia" w:ascii="宋体" w:hAnsi="宋体" w:cs="宋体"/>
          <w:kern w:val="0"/>
          <w:highlight w:val="none"/>
        </w:rPr>
        <w:t>；</w:t>
      </w:r>
    </w:p>
    <w:p w14:paraId="214E96BF">
      <w:pPr>
        <w:widowControl/>
        <w:spacing w:line="360" w:lineRule="exact"/>
        <w:jc w:val="left"/>
        <w:rPr>
          <w:rFonts w:cs="宋体"/>
          <w:color w:val="000000"/>
          <w:sz w:val="24"/>
          <w:highlight w:val="none"/>
        </w:rPr>
      </w:pPr>
      <w:r>
        <w:rPr>
          <w:rFonts w:ascii="宋体" w:hAnsi="宋体" w:cs="宋体"/>
          <w:kern w:val="0"/>
          <w:highlight w:val="none"/>
        </w:rPr>
        <w:t>4.2</w:t>
      </w:r>
      <w:r>
        <w:rPr>
          <w:rFonts w:hint="eastAsia" w:ascii="宋体" w:hAnsi="宋体" w:cs="宋体"/>
          <w:kern w:val="0"/>
          <w:highlight w:val="none"/>
        </w:rPr>
        <w:t>招标文件获取方式：投标人通过“南通市通州区水务有限公司</w:t>
      </w:r>
      <w:r>
        <w:rPr>
          <w:rFonts w:ascii="宋体" w:hAnsi="宋体" w:cs="宋体"/>
          <w:kern w:val="0"/>
          <w:highlight w:val="none"/>
        </w:rPr>
        <w:t>http://www.tzzls.com/</w:t>
      </w:r>
      <w:r>
        <w:rPr>
          <w:rFonts w:hint="eastAsia" w:ascii="宋体" w:hAnsi="宋体" w:cs="宋体"/>
          <w:kern w:val="0"/>
          <w:highlight w:val="none"/>
        </w:rPr>
        <w:t>”→下载招标公告及文件。</w:t>
      </w:r>
    </w:p>
    <w:p w14:paraId="3F375519">
      <w:pPr>
        <w:adjustRightInd w:val="0"/>
        <w:snapToGrid w:val="0"/>
        <w:spacing w:line="360" w:lineRule="exact"/>
        <w:rPr>
          <w:rFonts w:ascii="宋体"/>
          <w:highlight w:val="none"/>
        </w:rPr>
      </w:pPr>
      <w:r>
        <w:rPr>
          <w:rFonts w:ascii="宋体" w:hAnsi="宋体" w:cs="宋体"/>
          <w:kern w:val="0"/>
          <w:highlight w:val="none"/>
        </w:rPr>
        <w:t>4.</w:t>
      </w:r>
      <w:r>
        <w:rPr>
          <w:rFonts w:hint="eastAsia" w:ascii="宋体" w:hAnsi="宋体" w:cs="宋体"/>
          <w:kern w:val="0"/>
          <w:highlight w:val="none"/>
        </w:rPr>
        <w:t>3投标保证金：人民币</w:t>
      </w:r>
      <w:r>
        <w:rPr>
          <w:rFonts w:hint="eastAsia" w:ascii="宋体" w:hAnsi="宋体" w:cs="宋体"/>
          <w:kern w:val="0"/>
          <w:highlight w:val="none"/>
          <w:u w:val="single"/>
        </w:rPr>
        <w:t xml:space="preserve">  贰</w:t>
      </w:r>
      <w:r>
        <w:rPr>
          <w:rFonts w:hint="eastAsia" w:ascii="宋体" w:hAnsi="宋体" w:cs="宋体"/>
          <w:kern w:val="0"/>
          <w:highlight w:val="none"/>
          <w:u w:val="single"/>
          <w:lang w:val="en-US" w:eastAsia="zh-CN"/>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万元整</w:t>
      </w:r>
      <w:r>
        <w:rPr>
          <w:rFonts w:ascii="宋体" w:hAnsi="宋体" w:cs="宋体"/>
          <w:kern w:val="0"/>
          <w:highlight w:val="none"/>
        </w:rPr>
        <w:t>/</w:t>
      </w:r>
      <w:r>
        <w:rPr>
          <w:rFonts w:hint="eastAsia" w:ascii="宋体" w:hAnsi="宋体" w:cs="宋体"/>
          <w:kern w:val="0"/>
          <w:highlight w:val="none"/>
        </w:rPr>
        <w:t>投标单位（现金）。</w:t>
      </w:r>
    </w:p>
    <w:p w14:paraId="656142D2">
      <w:pPr>
        <w:adjustRightInd w:val="0"/>
        <w:snapToGrid w:val="0"/>
        <w:spacing w:line="360" w:lineRule="exact"/>
        <w:rPr>
          <w:rFonts w:ascii="宋体"/>
          <w:b/>
          <w:bCs/>
          <w:highlight w:val="none"/>
        </w:rPr>
      </w:pPr>
      <w:bookmarkStart w:id="18" w:name="_Toc389065127"/>
      <w:bookmarkStart w:id="19" w:name="_Toc498006636"/>
      <w:r>
        <w:rPr>
          <w:rFonts w:ascii="宋体" w:hAnsi="宋体" w:cs="宋体"/>
          <w:b/>
          <w:bCs/>
          <w:highlight w:val="none"/>
        </w:rPr>
        <w:t xml:space="preserve">5. </w:t>
      </w:r>
      <w:r>
        <w:rPr>
          <w:rFonts w:hint="eastAsia" w:ascii="宋体" w:hAnsi="宋体" w:cs="宋体"/>
          <w:b/>
          <w:bCs/>
          <w:highlight w:val="none"/>
        </w:rPr>
        <w:t>投标</w:t>
      </w:r>
      <w:bookmarkEnd w:id="18"/>
      <w:r>
        <w:rPr>
          <w:rFonts w:hint="eastAsia" w:ascii="宋体" w:hAnsi="宋体" w:cs="宋体"/>
          <w:b/>
          <w:bCs/>
          <w:highlight w:val="none"/>
        </w:rPr>
        <w:t>截止时间</w:t>
      </w:r>
      <w:bookmarkEnd w:id="19"/>
    </w:p>
    <w:p w14:paraId="2807C06D">
      <w:pPr>
        <w:adjustRightInd w:val="0"/>
        <w:snapToGrid w:val="0"/>
        <w:spacing w:line="360" w:lineRule="exact"/>
        <w:rPr>
          <w:rFonts w:ascii="宋体"/>
          <w:b/>
          <w:bCs/>
          <w:highlight w:val="none"/>
        </w:rPr>
      </w:pPr>
      <w:r>
        <w:rPr>
          <w:rFonts w:ascii="宋体" w:hAnsi="宋体" w:cs="宋体"/>
          <w:highlight w:val="none"/>
        </w:rPr>
        <w:t xml:space="preserve">5.1 </w:t>
      </w:r>
      <w:r>
        <w:rPr>
          <w:rFonts w:hint="eastAsia" w:ascii="宋体" w:hAnsi="宋体" w:cs="宋体"/>
          <w:highlight w:val="none"/>
        </w:rPr>
        <w:t>投标截止时间为：</w:t>
      </w:r>
      <w:r>
        <w:rPr>
          <w:rFonts w:ascii="宋体" w:hAnsi="宋体" w:cs="宋体"/>
          <w:b/>
          <w:bCs/>
          <w:highlight w:val="none"/>
          <w:u w:val="single"/>
        </w:rPr>
        <w:t>202</w:t>
      </w:r>
      <w:r>
        <w:rPr>
          <w:rFonts w:hint="eastAsia" w:ascii="宋体" w:hAnsi="宋体" w:cs="宋体"/>
          <w:b/>
          <w:bCs/>
          <w:highlight w:val="none"/>
          <w:u w:val="single"/>
          <w:lang w:val="en-US" w:eastAsia="zh-CN"/>
        </w:rPr>
        <w:t>5</w:t>
      </w:r>
      <w:r>
        <w:rPr>
          <w:rFonts w:hint="eastAsia" w:ascii="宋体" w:hAnsi="宋体" w:cs="宋体"/>
          <w:b/>
          <w:bCs/>
          <w:highlight w:val="none"/>
        </w:rPr>
        <w:t>年</w:t>
      </w:r>
      <w:r>
        <w:rPr>
          <w:rFonts w:hint="eastAsia" w:ascii="宋体" w:hAnsi="宋体" w:cs="宋体"/>
          <w:b/>
          <w:bCs/>
          <w:highlight w:val="none"/>
          <w:lang w:val="en-US" w:eastAsia="zh-CN"/>
        </w:rPr>
        <w:t>3</w:t>
      </w:r>
      <w:r>
        <w:rPr>
          <w:rFonts w:hint="eastAsia" w:ascii="宋体" w:hAnsi="宋体" w:cs="宋体"/>
          <w:b/>
          <w:bCs/>
          <w:highlight w:val="none"/>
        </w:rPr>
        <w:t>月</w:t>
      </w:r>
      <w:r>
        <w:rPr>
          <w:rFonts w:hint="eastAsia" w:ascii="宋体" w:hAnsi="宋体" w:cs="宋体"/>
          <w:b/>
          <w:bCs/>
          <w:highlight w:val="none"/>
          <w:u w:val="single"/>
          <w:lang w:val="en-US" w:eastAsia="zh-CN"/>
        </w:rPr>
        <w:t>10</w:t>
      </w:r>
      <w:r>
        <w:rPr>
          <w:rFonts w:hint="eastAsia" w:ascii="宋体" w:hAnsi="宋体" w:cs="宋体"/>
          <w:b/>
          <w:bCs/>
          <w:highlight w:val="none"/>
        </w:rPr>
        <w:t>日</w:t>
      </w:r>
      <w:r>
        <w:rPr>
          <w:rFonts w:hint="eastAsia" w:ascii="宋体" w:hAnsi="宋体" w:cs="宋体"/>
          <w:b/>
          <w:bCs/>
          <w:highlight w:val="none"/>
          <w:u w:val="single"/>
          <w:lang w:val="en-US" w:eastAsia="zh-CN"/>
        </w:rPr>
        <w:t>14</w:t>
      </w:r>
      <w:r>
        <w:rPr>
          <w:rFonts w:hint="eastAsia" w:ascii="宋体" w:hAnsi="宋体" w:cs="宋体"/>
          <w:b/>
          <w:bCs/>
          <w:highlight w:val="none"/>
        </w:rPr>
        <w:t>时</w:t>
      </w:r>
      <w:r>
        <w:rPr>
          <w:rFonts w:hint="eastAsia" w:ascii="宋体" w:hAnsi="宋体" w:cs="宋体"/>
          <w:b/>
          <w:bCs/>
          <w:highlight w:val="none"/>
          <w:u w:val="single"/>
          <w:lang w:val="en-US" w:eastAsia="zh-CN"/>
        </w:rPr>
        <w:t>0</w:t>
      </w:r>
      <w:r>
        <w:rPr>
          <w:rFonts w:hint="eastAsia" w:ascii="宋体" w:hAnsi="宋体" w:cs="宋体"/>
          <w:b/>
          <w:bCs/>
          <w:highlight w:val="none"/>
          <w:u w:val="single"/>
        </w:rPr>
        <w:t>0</w:t>
      </w:r>
      <w:r>
        <w:rPr>
          <w:rFonts w:hint="eastAsia" w:ascii="宋体" w:hAnsi="宋体" w:cs="宋体"/>
          <w:b/>
          <w:bCs/>
          <w:highlight w:val="none"/>
        </w:rPr>
        <w:t>分。</w:t>
      </w:r>
    </w:p>
    <w:p w14:paraId="6F97B254">
      <w:pPr>
        <w:adjustRightInd w:val="0"/>
        <w:snapToGrid w:val="0"/>
        <w:spacing w:line="360" w:lineRule="exact"/>
        <w:rPr>
          <w:rFonts w:ascii="宋体"/>
          <w:highlight w:val="none"/>
        </w:rPr>
      </w:pPr>
      <w:r>
        <w:rPr>
          <w:rFonts w:ascii="宋体" w:hAnsi="宋体" w:cs="宋体"/>
          <w:highlight w:val="none"/>
        </w:rPr>
        <w:t>5.2</w:t>
      </w:r>
      <w:r>
        <w:rPr>
          <w:rFonts w:hint="eastAsia" w:ascii="宋体" w:hAnsi="宋体" w:cs="宋体"/>
          <w:highlight w:val="none"/>
        </w:rPr>
        <w:t>逾期送达的投标文件，招标人不予受理。</w:t>
      </w:r>
    </w:p>
    <w:p w14:paraId="1B7D3879">
      <w:pPr>
        <w:adjustRightInd w:val="0"/>
        <w:snapToGrid w:val="0"/>
        <w:spacing w:line="360" w:lineRule="exact"/>
        <w:rPr>
          <w:rFonts w:ascii="宋体"/>
          <w:b/>
          <w:bCs/>
          <w:highlight w:val="none"/>
        </w:rPr>
      </w:pPr>
      <w:bookmarkStart w:id="20" w:name="_Toc498006637"/>
      <w:r>
        <w:rPr>
          <w:rFonts w:ascii="宋体" w:hAnsi="宋体" w:cs="宋体"/>
          <w:b/>
          <w:bCs/>
          <w:highlight w:val="none"/>
        </w:rPr>
        <w:t xml:space="preserve">6. </w:t>
      </w:r>
      <w:r>
        <w:rPr>
          <w:rFonts w:hint="eastAsia" w:ascii="宋体" w:hAnsi="宋体" w:cs="宋体"/>
          <w:b/>
          <w:bCs/>
          <w:highlight w:val="none"/>
        </w:rPr>
        <w:t>资格审查</w:t>
      </w:r>
      <w:bookmarkEnd w:id="20"/>
    </w:p>
    <w:p w14:paraId="1368C7E5">
      <w:pPr>
        <w:adjustRightInd w:val="0"/>
        <w:snapToGrid w:val="0"/>
        <w:spacing w:line="360" w:lineRule="exact"/>
        <w:ind w:firstLine="420" w:firstLineChars="200"/>
        <w:rPr>
          <w:rFonts w:ascii="宋体"/>
          <w:highlight w:val="none"/>
        </w:rPr>
      </w:pPr>
      <w:r>
        <w:rPr>
          <w:rFonts w:hint="eastAsia" w:ascii="宋体" w:hAnsi="宋体" w:cs="宋体"/>
          <w:highlight w:val="none"/>
        </w:rPr>
        <w:t>本次招标采用资格后审方式进行资格审查。</w:t>
      </w:r>
    </w:p>
    <w:p w14:paraId="52388033">
      <w:pPr>
        <w:adjustRightInd w:val="0"/>
        <w:snapToGrid w:val="0"/>
        <w:spacing w:line="360" w:lineRule="exact"/>
        <w:rPr>
          <w:rFonts w:ascii="宋体"/>
          <w:b/>
          <w:bCs/>
          <w:highlight w:val="none"/>
        </w:rPr>
      </w:pPr>
      <w:r>
        <w:rPr>
          <w:rFonts w:ascii="宋体" w:hAnsi="宋体" w:cs="宋体"/>
          <w:b/>
          <w:bCs/>
          <w:highlight w:val="none"/>
        </w:rPr>
        <w:t>7</w:t>
      </w:r>
      <w:r>
        <w:rPr>
          <w:rFonts w:hint="eastAsia" w:ascii="宋体" w:hAnsi="宋体" w:cs="宋体"/>
          <w:b/>
          <w:bCs/>
          <w:highlight w:val="none"/>
        </w:rPr>
        <w:t>、评标方法</w:t>
      </w:r>
    </w:p>
    <w:p w14:paraId="3A1AFEBC">
      <w:pPr>
        <w:adjustRightInd w:val="0"/>
        <w:snapToGrid w:val="0"/>
        <w:spacing w:line="360" w:lineRule="exact"/>
        <w:ind w:firstLine="310" w:firstLineChars="147"/>
        <w:rPr>
          <w:rFonts w:ascii="宋体"/>
          <w:b/>
          <w:bCs/>
        </w:rPr>
      </w:pPr>
      <w:r>
        <w:rPr>
          <w:rFonts w:hint="eastAsia" w:ascii="宋体" w:hAnsi="宋体" w:cs="宋体"/>
          <w:b/>
          <w:bCs/>
          <w:highlight w:val="none"/>
        </w:rPr>
        <w:t>本次招标采用</w:t>
      </w:r>
      <w:r>
        <w:rPr>
          <w:rFonts w:hint="eastAsia" w:ascii="宋体" w:hAnsi="宋体" w:cs="宋体"/>
          <w:b/>
          <w:bCs/>
          <w:highlight w:val="none"/>
          <w:u w:val="single"/>
        </w:rPr>
        <w:t>经评审的最低投标价法</w:t>
      </w:r>
      <w:r>
        <w:rPr>
          <w:rFonts w:hint="eastAsia" w:ascii="宋体" w:hAnsi="宋体" w:cs="宋体"/>
          <w:b/>
          <w:bCs/>
          <w:highlight w:val="none"/>
        </w:rPr>
        <w:t>，入围方式为全部入</w:t>
      </w:r>
      <w:r>
        <w:rPr>
          <w:rFonts w:hint="eastAsia" w:ascii="宋体" w:hAnsi="宋体" w:cs="宋体"/>
          <w:b/>
          <w:bCs/>
        </w:rPr>
        <w:t>围，评标标准和方法详见招标文件第三章。</w:t>
      </w:r>
      <w:bookmarkStart w:id="21" w:name="_Toc498006639"/>
    </w:p>
    <w:p w14:paraId="049E70FB">
      <w:pPr>
        <w:adjustRightInd w:val="0"/>
        <w:snapToGrid w:val="0"/>
        <w:spacing w:line="360" w:lineRule="exact"/>
        <w:rPr>
          <w:rFonts w:ascii="宋体"/>
          <w:b/>
          <w:bCs/>
        </w:rPr>
      </w:pPr>
      <w:r>
        <w:rPr>
          <w:rFonts w:ascii="宋体" w:hAnsi="宋体" w:cs="宋体"/>
          <w:b/>
          <w:bCs/>
        </w:rPr>
        <w:t>8</w:t>
      </w:r>
      <w:r>
        <w:rPr>
          <w:rFonts w:hint="eastAsia" w:ascii="宋体" w:hAnsi="宋体" w:cs="宋体"/>
          <w:b/>
          <w:bCs/>
        </w:rPr>
        <w:t>、发布公告的媒介</w:t>
      </w:r>
      <w:bookmarkEnd w:id="21"/>
    </w:p>
    <w:p w14:paraId="28CEB8F2">
      <w:pPr>
        <w:adjustRightInd w:val="0"/>
        <w:snapToGrid w:val="0"/>
        <w:spacing w:line="360" w:lineRule="exact"/>
        <w:ind w:firstLine="420" w:firstLineChars="200"/>
        <w:rPr>
          <w:rFonts w:ascii="宋体"/>
        </w:rPr>
      </w:pPr>
      <w:r>
        <w:rPr>
          <w:rFonts w:hint="eastAsia" w:ascii="宋体" w:hAnsi="宋体" w:cs="宋体"/>
        </w:rPr>
        <w:t>本次招标公告在</w:t>
      </w:r>
      <w:r>
        <w:rPr>
          <w:rFonts w:hint="eastAsia" w:ascii="宋体" w:hAnsi="宋体" w:cs="宋体"/>
          <w:kern w:val="0"/>
        </w:rPr>
        <w:t>南通市通州区水务有限公司</w:t>
      </w:r>
      <w:r>
        <w:rPr>
          <w:rFonts w:ascii="宋体" w:hAnsi="宋体" w:cs="宋体"/>
          <w:kern w:val="0"/>
        </w:rPr>
        <w:t>http://www.tzzls.com/</w:t>
      </w:r>
      <w:r>
        <w:rPr>
          <w:rFonts w:hint="eastAsia" w:ascii="宋体" w:hAnsi="宋体" w:cs="宋体"/>
        </w:rPr>
        <w:t>网上发布。</w:t>
      </w:r>
    </w:p>
    <w:p w14:paraId="3A5F1DDF">
      <w:pPr>
        <w:adjustRightInd w:val="0"/>
        <w:snapToGrid w:val="0"/>
        <w:spacing w:line="360" w:lineRule="exact"/>
        <w:rPr>
          <w:rFonts w:ascii="宋体"/>
          <w:b/>
          <w:bCs/>
        </w:rPr>
      </w:pPr>
      <w:r>
        <w:rPr>
          <w:rFonts w:ascii="宋体" w:hAnsi="宋体" w:cs="宋体"/>
          <w:b/>
          <w:bCs/>
        </w:rPr>
        <w:t>9.</w:t>
      </w:r>
      <w:r>
        <w:rPr>
          <w:rFonts w:hint="eastAsia" w:ascii="宋体" w:hAnsi="宋体" w:cs="宋体"/>
          <w:b/>
          <w:bCs/>
        </w:rPr>
        <w:t>特别提醒：</w:t>
      </w:r>
    </w:p>
    <w:p w14:paraId="1D9F6E03">
      <w:pPr>
        <w:adjustRightInd w:val="0"/>
        <w:snapToGrid w:val="0"/>
        <w:spacing w:line="36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）未按招标文件要求提交投标保证金的其投标文件均不予接受。</w:t>
      </w:r>
    </w:p>
    <w:p w14:paraId="6750D1AB">
      <w:pPr>
        <w:adjustRightInd w:val="0"/>
        <w:snapToGrid w:val="0"/>
        <w:spacing w:line="360" w:lineRule="exact"/>
        <w:ind w:firstLine="420" w:firstLineChars="200"/>
        <w:rPr>
          <w:rFonts w:ascii="宋体"/>
        </w:rPr>
      </w:pPr>
      <w:r>
        <w:rPr>
          <w:rFonts w:hint="eastAsia" w:ascii="宋体" w:hAnsi="宋体" w:cs="宋体"/>
        </w:rPr>
        <w:t>（</w:t>
      </w:r>
      <w:r>
        <w:rPr>
          <w:rFonts w:ascii="宋体" w:hAnsi="宋体" w:cs="宋体"/>
        </w:rPr>
        <w:t>3</w:t>
      </w:r>
      <w:r>
        <w:rPr>
          <w:rFonts w:hint="eastAsia" w:ascii="宋体" w:hAnsi="宋体" w:cs="宋体"/>
        </w:rPr>
        <w:t>）招标公告系招标文件的组成部分，与招标文件具有同等法律效力。</w:t>
      </w:r>
    </w:p>
    <w:p w14:paraId="30746198">
      <w:pPr>
        <w:adjustRightInd w:val="0"/>
        <w:snapToGrid w:val="0"/>
        <w:spacing w:line="360" w:lineRule="exact"/>
        <w:rPr>
          <w:rFonts w:ascii="宋体" w:hAnsi="宋体" w:cs="宋体"/>
          <w:b/>
          <w:bCs/>
        </w:rPr>
      </w:pPr>
      <w:bookmarkStart w:id="22" w:name="_Toc32718"/>
      <w:bookmarkStart w:id="23" w:name="_Toc389065130"/>
      <w:bookmarkStart w:id="24" w:name="_Toc498006640"/>
      <w:r>
        <w:rPr>
          <w:rFonts w:ascii="宋体" w:hAnsi="宋体" w:cs="宋体"/>
          <w:b/>
          <w:bCs/>
        </w:rPr>
        <w:t>10.</w:t>
      </w:r>
      <w:bookmarkEnd w:id="22"/>
      <w:bookmarkEnd w:id="23"/>
      <w:r>
        <w:rPr>
          <w:rFonts w:hint="eastAsia" w:ascii="宋体" w:hAnsi="宋体" w:cs="宋体"/>
          <w:b/>
          <w:bCs/>
        </w:rPr>
        <w:t>联系方式</w:t>
      </w:r>
      <w:bookmarkEnd w:id="24"/>
    </w:p>
    <w:bookmarkEnd w:id="2"/>
    <w:bookmarkEnd w:id="3"/>
    <w:tbl>
      <w:tblPr>
        <w:tblStyle w:val="51"/>
        <w:tblW w:w="93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6"/>
        <w:gridCol w:w="3260"/>
        <w:gridCol w:w="1417"/>
        <w:gridCol w:w="3686"/>
      </w:tblGrid>
      <w:tr w14:paraId="02464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trPr>
        <w:tc>
          <w:tcPr>
            <w:tcW w:w="996" w:type="dxa"/>
            <w:vAlign w:val="center"/>
          </w:tcPr>
          <w:p w14:paraId="37D5EBBF">
            <w:pPr>
              <w:widowControl/>
              <w:spacing w:line="360" w:lineRule="exact"/>
              <w:jc w:val="left"/>
              <w:rPr>
                <w:rFonts w:ascii="宋体"/>
                <w:kern w:val="0"/>
              </w:rPr>
            </w:pPr>
            <w:r>
              <w:rPr>
                <w:rFonts w:hint="eastAsia" w:ascii="宋体" w:hAnsi="宋体" w:cs="宋体"/>
                <w:kern w:val="0"/>
              </w:rPr>
              <w:t>招标人：</w:t>
            </w:r>
          </w:p>
        </w:tc>
        <w:tc>
          <w:tcPr>
            <w:tcW w:w="3260" w:type="dxa"/>
            <w:vAlign w:val="center"/>
          </w:tcPr>
          <w:p w14:paraId="7D8AA33A">
            <w:pPr>
              <w:adjustRightInd w:val="0"/>
              <w:snapToGrid w:val="0"/>
              <w:spacing w:line="360" w:lineRule="exact"/>
              <w:rPr>
                <w:rFonts w:ascii="宋体"/>
                <w:color w:val="FF0000"/>
              </w:rPr>
            </w:pPr>
            <w:r>
              <w:rPr>
                <w:rFonts w:hint="eastAsia" w:ascii="宋体" w:hAnsi="宋体" w:cs="宋体"/>
                <w:kern w:val="0"/>
              </w:rPr>
              <w:t>南通市通州区水务工程有限公司</w:t>
            </w:r>
          </w:p>
        </w:tc>
        <w:tc>
          <w:tcPr>
            <w:tcW w:w="1417" w:type="dxa"/>
            <w:vAlign w:val="center"/>
          </w:tcPr>
          <w:p w14:paraId="47F0EAC8">
            <w:pPr>
              <w:widowControl/>
              <w:spacing w:line="360" w:lineRule="exact"/>
              <w:jc w:val="left"/>
              <w:rPr>
                <w:rFonts w:ascii="宋体" w:hAnsi="宋体" w:cs="宋体"/>
                <w:kern w:val="0"/>
              </w:rPr>
            </w:pPr>
            <w:r>
              <w:rPr>
                <w:rFonts w:hint="eastAsia" w:ascii="宋体" w:hAnsi="宋体" w:cs="宋体"/>
                <w:kern w:val="0"/>
              </w:rPr>
              <w:t>招标代理机构</w:t>
            </w:r>
            <w:r>
              <w:rPr>
                <w:rFonts w:ascii="宋体" w:hAnsi="宋体" w:cs="宋体"/>
                <w:kern w:val="0"/>
              </w:rPr>
              <w:t xml:space="preserve">: </w:t>
            </w:r>
          </w:p>
        </w:tc>
        <w:tc>
          <w:tcPr>
            <w:tcW w:w="3686" w:type="dxa"/>
            <w:vAlign w:val="center"/>
          </w:tcPr>
          <w:p w14:paraId="55EA80FB">
            <w:pPr>
              <w:widowControl/>
              <w:spacing w:line="360" w:lineRule="exact"/>
              <w:jc w:val="left"/>
              <w:rPr>
                <w:rFonts w:ascii="宋体"/>
                <w:kern w:val="0"/>
              </w:rPr>
            </w:pPr>
            <w:r>
              <w:rPr>
                <w:rFonts w:hint="eastAsia" w:ascii="宋体" w:hAnsi="宋体" w:cs="宋体"/>
                <w:kern w:val="0"/>
              </w:rPr>
              <w:t>南通市通州天元建设监理咨询有限公司</w:t>
            </w:r>
          </w:p>
        </w:tc>
      </w:tr>
      <w:tr w14:paraId="657E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242183FC">
            <w:pPr>
              <w:widowControl/>
              <w:spacing w:line="360" w:lineRule="exact"/>
              <w:jc w:val="left"/>
              <w:rPr>
                <w:rFonts w:ascii="宋体"/>
                <w:kern w:val="0"/>
              </w:rPr>
            </w:pPr>
            <w:r>
              <w:rPr>
                <w:rFonts w:hint="eastAsia" w:ascii="宋体" w:hAnsi="宋体" w:cs="宋体"/>
                <w:kern w:val="0"/>
              </w:rPr>
              <w:t>地</w:t>
            </w:r>
            <w:r>
              <w:rPr>
                <w:rFonts w:ascii="宋体"/>
                <w:kern w:val="0"/>
              </w:rPr>
              <w:t> </w:t>
            </w:r>
            <w:r>
              <w:rPr>
                <w:rFonts w:hint="eastAsia" w:ascii="宋体" w:hAnsi="宋体" w:cs="宋体"/>
                <w:kern w:val="0"/>
              </w:rPr>
              <w:t>址：</w:t>
            </w:r>
          </w:p>
        </w:tc>
        <w:tc>
          <w:tcPr>
            <w:tcW w:w="3260" w:type="dxa"/>
            <w:vAlign w:val="center"/>
          </w:tcPr>
          <w:p w14:paraId="4200851D">
            <w:pPr>
              <w:widowControl/>
              <w:spacing w:line="360" w:lineRule="exact"/>
              <w:jc w:val="left"/>
              <w:rPr>
                <w:rFonts w:ascii="宋体"/>
                <w:kern w:val="0"/>
              </w:rPr>
            </w:pPr>
            <w:r>
              <w:rPr>
                <w:rFonts w:hint="eastAsia" w:ascii="宋体"/>
                <w:kern w:val="0"/>
              </w:rPr>
              <w:t>南通市通州区金通路18号</w:t>
            </w:r>
          </w:p>
        </w:tc>
        <w:tc>
          <w:tcPr>
            <w:tcW w:w="1417" w:type="dxa"/>
            <w:vAlign w:val="center"/>
          </w:tcPr>
          <w:p w14:paraId="33C8241F">
            <w:pPr>
              <w:widowControl/>
              <w:spacing w:line="360" w:lineRule="exact"/>
              <w:jc w:val="left"/>
              <w:rPr>
                <w:rFonts w:ascii="宋体"/>
                <w:kern w:val="0"/>
              </w:rPr>
            </w:pPr>
            <w:r>
              <w:rPr>
                <w:rFonts w:hint="eastAsia" w:ascii="宋体" w:hAnsi="宋体" w:cs="宋体"/>
                <w:kern w:val="0"/>
              </w:rPr>
              <w:t>地</w:t>
            </w:r>
            <w:r>
              <w:rPr>
                <w:rFonts w:ascii="宋体"/>
                <w:kern w:val="0"/>
              </w:rPr>
              <w:t> </w:t>
            </w:r>
            <w:r>
              <w:rPr>
                <w:rFonts w:hint="eastAsia" w:ascii="宋体" w:hAnsi="宋体" w:cs="宋体"/>
                <w:kern w:val="0"/>
              </w:rPr>
              <w:t>址：</w:t>
            </w:r>
          </w:p>
        </w:tc>
        <w:tc>
          <w:tcPr>
            <w:tcW w:w="3686" w:type="dxa"/>
            <w:vAlign w:val="center"/>
          </w:tcPr>
          <w:p w14:paraId="08A7D117">
            <w:pPr>
              <w:widowControl/>
              <w:spacing w:line="360" w:lineRule="exact"/>
              <w:jc w:val="left"/>
              <w:rPr>
                <w:rFonts w:ascii="宋体"/>
                <w:kern w:val="0"/>
              </w:rPr>
            </w:pPr>
            <w:r>
              <w:rPr>
                <w:rFonts w:hint="eastAsia" w:ascii="宋体" w:hAnsi="宋体" w:cs="宋体"/>
                <w:kern w:val="0"/>
              </w:rPr>
              <w:t>通州区润和大厦</w:t>
            </w:r>
            <w:r>
              <w:rPr>
                <w:rFonts w:ascii="宋体" w:hAnsi="宋体" w:cs="宋体"/>
                <w:kern w:val="0"/>
              </w:rPr>
              <w:t>8</w:t>
            </w:r>
            <w:r>
              <w:rPr>
                <w:rFonts w:hint="eastAsia" w:ascii="宋体" w:hAnsi="宋体" w:cs="宋体"/>
                <w:kern w:val="0"/>
              </w:rPr>
              <w:t>楼</w:t>
            </w:r>
          </w:p>
        </w:tc>
      </w:tr>
      <w:tr w14:paraId="04CBC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21320EA6">
            <w:pPr>
              <w:widowControl/>
              <w:spacing w:line="360" w:lineRule="exact"/>
              <w:jc w:val="left"/>
              <w:rPr>
                <w:rFonts w:ascii="宋体"/>
                <w:kern w:val="0"/>
              </w:rPr>
            </w:pPr>
            <w:r>
              <w:rPr>
                <w:rFonts w:hint="eastAsia" w:ascii="宋体" w:hAnsi="宋体" w:cs="宋体"/>
                <w:kern w:val="0"/>
              </w:rPr>
              <w:t>联系人：</w:t>
            </w:r>
          </w:p>
        </w:tc>
        <w:tc>
          <w:tcPr>
            <w:tcW w:w="3260" w:type="dxa"/>
            <w:vAlign w:val="center"/>
          </w:tcPr>
          <w:p w14:paraId="3B9F0404">
            <w:pPr>
              <w:widowControl/>
              <w:spacing w:line="360" w:lineRule="exact"/>
              <w:jc w:val="left"/>
              <w:rPr>
                <w:rFonts w:ascii="宋体"/>
                <w:kern w:val="0"/>
              </w:rPr>
            </w:pPr>
            <w:r>
              <w:rPr>
                <w:rFonts w:hint="eastAsia" w:ascii="宋体"/>
                <w:kern w:val="0"/>
              </w:rPr>
              <w:t>王楠毅</w:t>
            </w:r>
          </w:p>
        </w:tc>
        <w:tc>
          <w:tcPr>
            <w:tcW w:w="1417" w:type="dxa"/>
            <w:vAlign w:val="center"/>
          </w:tcPr>
          <w:p w14:paraId="74881733">
            <w:pPr>
              <w:widowControl/>
              <w:spacing w:line="360" w:lineRule="exact"/>
              <w:jc w:val="left"/>
              <w:rPr>
                <w:rFonts w:ascii="宋体"/>
                <w:kern w:val="0"/>
              </w:rPr>
            </w:pPr>
            <w:r>
              <w:rPr>
                <w:rFonts w:hint="eastAsia" w:ascii="宋体" w:hAnsi="宋体" w:cs="宋体"/>
                <w:kern w:val="0"/>
              </w:rPr>
              <w:t>联系人：</w:t>
            </w:r>
          </w:p>
        </w:tc>
        <w:tc>
          <w:tcPr>
            <w:tcW w:w="3686" w:type="dxa"/>
            <w:vAlign w:val="center"/>
          </w:tcPr>
          <w:p w14:paraId="7F0F66F3">
            <w:pPr>
              <w:widowControl/>
              <w:spacing w:line="360" w:lineRule="exact"/>
              <w:jc w:val="left"/>
              <w:rPr>
                <w:rFonts w:ascii="宋体"/>
                <w:kern w:val="0"/>
              </w:rPr>
            </w:pPr>
            <w:r>
              <w:rPr>
                <w:rFonts w:hint="eastAsia" w:ascii="宋体" w:hAnsi="宋体" w:cs="宋体"/>
                <w:kern w:val="0"/>
              </w:rPr>
              <w:t>俞振飞</w:t>
            </w:r>
          </w:p>
        </w:tc>
      </w:tr>
      <w:tr w14:paraId="6E096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51E94285">
            <w:pPr>
              <w:widowControl/>
              <w:spacing w:line="360" w:lineRule="exact"/>
              <w:jc w:val="left"/>
              <w:rPr>
                <w:rFonts w:ascii="宋体"/>
                <w:kern w:val="0"/>
                <w:highlight w:val="none"/>
              </w:rPr>
            </w:pPr>
            <w:r>
              <w:rPr>
                <w:rFonts w:hint="eastAsia" w:ascii="宋体" w:hAnsi="宋体" w:cs="宋体"/>
                <w:kern w:val="0"/>
                <w:highlight w:val="none"/>
              </w:rPr>
              <w:t>电话：</w:t>
            </w:r>
          </w:p>
        </w:tc>
        <w:tc>
          <w:tcPr>
            <w:tcW w:w="3260" w:type="dxa"/>
            <w:vAlign w:val="center"/>
          </w:tcPr>
          <w:p w14:paraId="08CAC90A">
            <w:pPr>
              <w:widowControl/>
              <w:spacing w:line="360" w:lineRule="exact"/>
              <w:jc w:val="left"/>
              <w:rPr>
                <w:rFonts w:ascii="宋体"/>
                <w:kern w:val="0"/>
                <w:highlight w:val="none"/>
              </w:rPr>
            </w:pPr>
            <w:r>
              <w:rPr>
                <w:rFonts w:ascii="宋体"/>
                <w:kern w:val="0"/>
                <w:highlight w:val="none"/>
              </w:rPr>
              <w:t>0513</w:t>
            </w:r>
            <w:r>
              <w:rPr>
                <w:rFonts w:ascii="宋体" w:hAnsi="宋体" w:cs="宋体"/>
                <w:kern w:val="0"/>
                <w:highlight w:val="none"/>
              </w:rPr>
              <w:t>-</w:t>
            </w:r>
            <w:r>
              <w:rPr>
                <w:rFonts w:ascii="宋体"/>
                <w:kern w:val="0"/>
                <w:highlight w:val="none"/>
              </w:rPr>
              <w:t>86548226</w:t>
            </w:r>
          </w:p>
        </w:tc>
        <w:tc>
          <w:tcPr>
            <w:tcW w:w="1417" w:type="dxa"/>
            <w:vAlign w:val="center"/>
          </w:tcPr>
          <w:p w14:paraId="661A0A99">
            <w:pPr>
              <w:widowControl/>
              <w:spacing w:line="360" w:lineRule="exact"/>
              <w:jc w:val="left"/>
              <w:rPr>
                <w:rFonts w:ascii="宋体"/>
                <w:kern w:val="0"/>
                <w:highlight w:val="none"/>
              </w:rPr>
            </w:pPr>
            <w:r>
              <w:rPr>
                <w:rFonts w:hint="eastAsia" w:ascii="宋体" w:hAnsi="宋体" w:cs="宋体"/>
                <w:kern w:val="0"/>
                <w:highlight w:val="none"/>
              </w:rPr>
              <w:t>电</w:t>
            </w:r>
            <w:r>
              <w:rPr>
                <w:rFonts w:ascii="宋体"/>
                <w:kern w:val="0"/>
                <w:highlight w:val="none"/>
              </w:rPr>
              <w:t> </w:t>
            </w:r>
            <w:r>
              <w:rPr>
                <w:rFonts w:hint="eastAsia" w:ascii="宋体" w:hAnsi="宋体" w:cs="宋体"/>
                <w:kern w:val="0"/>
                <w:highlight w:val="none"/>
              </w:rPr>
              <w:t>话：</w:t>
            </w:r>
          </w:p>
        </w:tc>
        <w:tc>
          <w:tcPr>
            <w:tcW w:w="3686" w:type="dxa"/>
            <w:vAlign w:val="center"/>
          </w:tcPr>
          <w:p w14:paraId="60043793">
            <w:pPr>
              <w:widowControl/>
              <w:spacing w:line="360" w:lineRule="exact"/>
              <w:jc w:val="left"/>
              <w:rPr>
                <w:rFonts w:ascii="宋体"/>
                <w:kern w:val="0"/>
                <w:highlight w:val="none"/>
              </w:rPr>
            </w:pPr>
            <w:r>
              <w:rPr>
                <w:rFonts w:ascii="宋体" w:hAnsi="宋体" w:cs="宋体"/>
                <w:kern w:val="0"/>
                <w:highlight w:val="none"/>
              </w:rPr>
              <w:t>0513-86516066</w:t>
            </w:r>
          </w:p>
        </w:tc>
      </w:tr>
      <w:bookmarkEnd w:id="4"/>
      <w:bookmarkEnd w:id="5"/>
      <w:bookmarkEnd w:id="6"/>
    </w:tbl>
    <w:p w14:paraId="69E0F239">
      <w:pPr>
        <w:spacing w:line="360" w:lineRule="exact"/>
        <w:ind w:firstLine="6405" w:firstLineChars="3050"/>
        <w:rPr>
          <w:rFonts w:ascii="宋体"/>
          <w:highlight w:val="none"/>
        </w:rPr>
        <w:sectPr>
          <w:headerReference r:id="rId5" w:type="default"/>
          <w:footerReference r:id="rId6" w:type="default"/>
          <w:pgSz w:w="11906" w:h="16838"/>
          <w:pgMar w:top="1440" w:right="1559" w:bottom="1440" w:left="1560" w:header="851" w:footer="850" w:gutter="0"/>
          <w:cols w:space="720" w:num="1"/>
          <w:docGrid w:linePitch="312" w:charSpace="0"/>
        </w:sectPr>
      </w:pPr>
      <w:r>
        <w:rPr>
          <w:rFonts w:hint="eastAsia" w:ascii="宋体"/>
          <w:highlight w:val="none"/>
        </w:rPr>
        <w:t>202</w:t>
      </w:r>
      <w:r>
        <w:rPr>
          <w:rFonts w:hint="eastAsia" w:ascii="宋体"/>
          <w:highlight w:val="none"/>
          <w:lang w:val="en-US" w:eastAsia="zh-CN"/>
        </w:rPr>
        <w:t>5</w:t>
      </w:r>
      <w:r>
        <w:rPr>
          <w:rFonts w:hint="eastAsia" w:ascii="宋体"/>
          <w:highlight w:val="none"/>
        </w:rPr>
        <w:t>年</w:t>
      </w:r>
      <w:r>
        <w:rPr>
          <w:rFonts w:hint="eastAsia" w:ascii="宋体"/>
          <w:highlight w:val="none"/>
          <w:lang w:val="en-US" w:eastAsia="zh-CN"/>
        </w:rPr>
        <w:t>2</w:t>
      </w:r>
      <w:r>
        <w:rPr>
          <w:rFonts w:hint="eastAsia" w:ascii="宋体"/>
          <w:highlight w:val="none"/>
        </w:rPr>
        <w:t>月</w:t>
      </w:r>
      <w:r>
        <w:rPr>
          <w:rFonts w:hint="eastAsia" w:ascii="宋体"/>
          <w:highlight w:val="none"/>
          <w:lang w:val="en-US" w:eastAsia="zh-CN"/>
        </w:rPr>
        <w:t>26</w:t>
      </w:r>
      <w:r>
        <w:rPr>
          <w:rFonts w:hint="eastAsia" w:ascii="宋体"/>
          <w:highlight w:val="none"/>
        </w:rPr>
        <w:t>日</w:t>
      </w:r>
    </w:p>
    <w:bookmarkEnd w:id="7"/>
    <w:bookmarkEnd w:id="8"/>
    <w:p w14:paraId="16FCDA84">
      <w:pPr>
        <w:pStyle w:val="2"/>
        <w:numPr>
          <w:ilvl w:val="0"/>
          <w:numId w:val="1"/>
        </w:numPr>
        <w:spacing w:line="240" w:lineRule="auto"/>
        <w:jc w:val="center"/>
        <w:rPr>
          <w:rFonts w:ascii="宋体" w:hAnsi="宋体" w:eastAsia="宋体"/>
        </w:rPr>
      </w:pPr>
      <w:bookmarkStart w:id="25" w:name="_Toc389065142"/>
      <w:bookmarkStart w:id="26" w:name="_Toc498006641"/>
      <w:r>
        <w:rPr>
          <w:rFonts w:hint="eastAsia" w:ascii="宋体" w:hAnsi="宋体" w:eastAsia="宋体" w:cs="宋体"/>
        </w:rPr>
        <w:t xml:space="preserve"> 投标人须知</w:t>
      </w:r>
      <w:bookmarkEnd w:id="25"/>
      <w:bookmarkEnd w:id="26"/>
    </w:p>
    <w:p w14:paraId="4758E01F">
      <w:pPr>
        <w:pStyle w:val="2"/>
        <w:spacing w:line="240" w:lineRule="auto"/>
        <w:jc w:val="center"/>
        <w:rPr>
          <w:rFonts w:ascii="宋体" w:hAnsi="宋体" w:eastAsia="宋体"/>
          <w:sz w:val="30"/>
          <w:szCs w:val="30"/>
        </w:rPr>
      </w:pPr>
      <w:bookmarkStart w:id="27" w:name="_Toc389065143"/>
      <w:bookmarkStart w:id="28" w:name="_Toc498006642"/>
      <w:r>
        <w:rPr>
          <w:rFonts w:hint="eastAsia" w:ascii="宋体" w:hAnsi="宋体" w:eastAsia="宋体" w:cs="宋体"/>
          <w:sz w:val="30"/>
          <w:szCs w:val="30"/>
        </w:rPr>
        <w:t>投标人须知前附表</w:t>
      </w:r>
      <w:bookmarkEnd w:id="27"/>
      <w:bookmarkEnd w:id="28"/>
    </w:p>
    <w:tbl>
      <w:tblPr>
        <w:tblStyle w:val="51"/>
        <w:tblW w:w="942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445"/>
        <w:gridCol w:w="6104"/>
      </w:tblGrid>
      <w:tr w14:paraId="611AFE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blHeader/>
          <w:jc w:val="center"/>
        </w:trPr>
        <w:tc>
          <w:tcPr>
            <w:tcW w:w="871" w:type="dxa"/>
            <w:tcBorders>
              <w:top w:val="single" w:color="auto" w:sz="12" w:space="0"/>
            </w:tcBorders>
            <w:shd w:val="clear" w:color="auto" w:fill="E6E6E6"/>
            <w:vAlign w:val="center"/>
          </w:tcPr>
          <w:p w14:paraId="5D8F79B0">
            <w:pPr>
              <w:adjustRightInd w:val="0"/>
              <w:snapToGrid w:val="0"/>
              <w:spacing w:line="400" w:lineRule="exact"/>
              <w:jc w:val="center"/>
              <w:rPr>
                <w:rFonts w:ascii="宋体"/>
                <w:b/>
                <w:bCs/>
              </w:rPr>
            </w:pPr>
            <w:r>
              <w:rPr>
                <w:rFonts w:hint="eastAsia" w:ascii="宋体" w:hAnsi="宋体" w:cs="宋体"/>
                <w:b/>
                <w:bCs/>
              </w:rPr>
              <w:t>条款号</w:t>
            </w:r>
          </w:p>
        </w:tc>
        <w:tc>
          <w:tcPr>
            <w:tcW w:w="2445" w:type="dxa"/>
            <w:tcBorders>
              <w:top w:val="single" w:color="auto" w:sz="12" w:space="0"/>
            </w:tcBorders>
            <w:shd w:val="clear" w:color="auto" w:fill="E6E6E6"/>
            <w:vAlign w:val="center"/>
          </w:tcPr>
          <w:p w14:paraId="12E871CD">
            <w:pPr>
              <w:adjustRightInd w:val="0"/>
              <w:snapToGrid w:val="0"/>
              <w:spacing w:line="400" w:lineRule="exact"/>
              <w:jc w:val="center"/>
              <w:rPr>
                <w:rFonts w:ascii="宋体"/>
                <w:b/>
                <w:bCs/>
              </w:rPr>
            </w:pPr>
            <w:r>
              <w:rPr>
                <w:rFonts w:hint="eastAsia" w:ascii="宋体" w:hAnsi="宋体" w:cs="宋体"/>
                <w:b/>
                <w:bCs/>
              </w:rPr>
              <w:t>条款名称</w:t>
            </w:r>
          </w:p>
        </w:tc>
        <w:tc>
          <w:tcPr>
            <w:tcW w:w="6104" w:type="dxa"/>
            <w:tcBorders>
              <w:top w:val="single" w:color="auto" w:sz="12" w:space="0"/>
            </w:tcBorders>
            <w:shd w:val="clear" w:color="auto" w:fill="E6E6E6"/>
            <w:vAlign w:val="center"/>
          </w:tcPr>
          <w:p w14:paraId="60AE4033">
            <w:pPr>
              <w:adjustRightInd w:val="0"/>
              <w:snapToGrid w:val="0"/>
              <w:spacing w:line="400" w:lineRule="exact"/>
              <w:jc w:val="center"/>
              <w:rPr>
                <w:rFonts w:ascii="宋体"/>
                <w:b/>
                <w:bCs/>
              </w:rPr>
            </w:pPr>
            <w:r>
              <w:rPr>
                <w:rFonts w:hint="eastAsia" w:ascii="宋体" w:hAnsi="宋体" w:cs="宋体"/>
                <w:b/>
                <w:bCs/>
              </w:rPr>
              <w:t>编列内容</w:t>
            </w:r>
          </w:p>
        </w:tc>
      </w:tr>
      <w:tr w14:paraId="3E5CA8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871" w:type="dxa"/>
            <w:vAlign w:val="center"/>
          </w:tcPr>
          <w:p w14:paraId="51EC5FA6">
            <w:pPr>
              <w:adjustRightInd w:val="0"/>
              <w:snapToGrid w:val="0"/>
              <w:spacing w:line="400" w:lineRule="exact"/>
              <w:jc w:val="center"/>
              <w:rPr>
                <w:rFonts w:ascii="宋体"/>
              </w:rPr>
            </w:pPr>
            <w:r>
              <w:rPr>
                <w:rFonts w:ascii="宋体" w:hAnsi="宋体" w:cs="宋体"/>
              </w:rPr>
              <w:t>1.1.2</w:t>
            </w:r>
          </w:p>
        </w:tc>
        <w:tc>
          <w:tcPr>
            <w:tcW w:w="2445" w:type="dxa"/>
            <w:vAlign w:val="center"/>
          </w:tcPr>
          <w:p w14:paraId="463FC64E">
            <w:pPr>
              <w:adjustRightInd w:val="0"/>
              <w:snapToGrid w:val="0"/>
              <w:spacing w:line="400" w:lineRule="exact"/>
              <w:rPr>
                <w:rFonts w:ascii="宋体"/>
              </w:rPr>
            </w:pPr>
            <w:r>
              <w:rPr>
                <w:rFonts w:hint="eastAsia" w:ascii="宋体" w:hAnsi="宋体" w:cs="宋体"/>
              </w:rPr>
              <w:t>招标人</w:t>
            </w:r>
          </w:p>
        </w:tc>
        <w:tc>
          <w:tcPr>
            <w:tcW w:w="6104" w:type="dxa"/>
            <w:vAlign w:val="center"/>
          </w:tcPr>
          <w:p w14:paraId="54BD3929">
            <w:pPr>
              <w:adjustRightInd w:val="0"/>
              <w:snapToGrid w:val="0"/>
              <w:spacing w:line="400" w:lineRule="exact"/>
              <w:rPr>
                <w:rFonts w:ascii="宋体" w:hAnsi="宋体" w:cs="宋体"/>
              </w:rPr>
            </w:pPr>
            <w:r>
              <w:rPr>
                <w:rFonts w:hint="eastAsia" w:ascii="宋体" w:hAnsi="宋体" w:cs="宋体"/>
              </w:rPr>
              <w:t>名称：</w:t>
            </w:r>
            <w:r>
              <w:rPr>
                <w:rFonts w:hint="eastAsia" w:ascii="宋体" w:hAnsi="宋体" w:cs="宋体"/>
                <w:kern w:val="0"/>
              </w:rPr>
              <w:t>南通市通州区水务工程有限公司</w:t>
            </w:r>
          </w:p>
          <w:p w14:paraId="7444D494">
            <w:pPr>
              <w:adjustRightInd w:val="0"/>
              <w:snapToGrid w:val="0"/>
              <w:spacing w:line="400" w:lineRule="exact"/>
              <w:rPr>
                <w:rFonts w:ascii="宋体"/>
              </w:rPr>
            </w:pPr>
            <w:r>
              <w:rPr>
                <w:rFonts w:hint="eastAsia" w:ascii="宋体" w:hAnsi="宋体" w:cs="宋体"/>
              </w:rPr>
              <w:t>地址：南通市通州区</w:t>
            </w:r>
            <w:r>
              <w:rPr>
                <w:rFonts w:hint="eastAsia" w:ascii="宋体"/>
                <w:kern w:val="0"/>
              </w:rPr>
              <w:t>金通路18号</w:t>
            </w:r>
          </w:p>
          <w:p w14:paraId="5C6865E2">
            <w:pPr>
              <w:adjustRightInd w:val="0"/>
              <w:snapToGrid w:val="0"/>
              <w:spacing w:line="400" w:lineRule="exact"/>
              <w:rPr>
                <w:rFonts w:ascii="宋体"/>
              </w:rPr>
            </w:pPr>
            <w:r>
              <w:rPr>
                <w:rFonts w:hint="eastAsia" w:ascii="宋体" w:hAnsi="宋体" w:cs="宋体"/>
              </w:rPr>
              <w:t>联系人：</w:t>
            </w:r>
            <w:r>
              <w:rPr>
                <w:rFonts w:hint="eastAsia" w:ascii="宋体"/>
                <w:kern w:val="0"/>
              </w:rPr>
              <w:t>王楠毅</w:t>
            </w:r>
          </w:p>
          <w:p w14:paraId="0E26CFC7">
            <w:pPr>
              <w:adjustRightInd w:val="0"/>
              <w:snapToGrid w:val="0"/>
              <w:spacing w:line="400" w:lineRule="exact"/>
              <w:rPr>
                <w:rFonts w:ascii="宋体"/>
              </w:rPr>
            </w:pPr>
            <w:r>
              <w:rPr>
                <w:rFonts w:hint="eastAsia" w:ascii="宋体" w:hAnsi="宋体" w:cs="宋体"/>
              </w:rPr>
              <w:t>电话：0513-86548226</w:t>
            </w:r>
          </w:p>
        </w:tc>
      </w:tr>
      <w:tr w14:paraId="61494D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871" w:type="dxa"/>
            <w:vAlign w:val="center"/>
          </w:tcPr>
          <w:p w14:paraId="0A6F0608">
            <w:pPr>
              <w:adjustRightInd w:val="0"/>
              <w:snapToGrid w:val="0"/>
              <w:spacing w:line="400" w:lineRule="exact"/>
              <w:jc w:val="center"/>
              <w:rPr>
                <w:rFonts w:ascii="宋体"/>
              </w:rPr>
            </w:pPr>
            <w:r>
              <w:rPr>
                <w:rFonts w:ascii="宋体" w:hAnsi="宋体" w:cs="宋体"/>
              </w:rPr>
              <w:t>1.1.3</w:t>
            </w:r>
          </w:p>
        </w:tc>
        <w:tc>
          <w:tcPr>
            <w:tcW w:w="2445" w:type="dxa"/>
            <w:vAlign w:val="center"/>
          </w:tcPr>
          <w:p w14:paraId="2EE9ACE0">
            <w:pPr>
              <w:adjustRightInd w:val="0"/>
              <w:snapToGrid w:val="0"/>
              <w:spacing w:line="400" w:lineRule="exact"/>
              <w:rPr>
                <w:rFonts w:ascii="宋体"/>
              </w:rPr>
            </w:pPr>
            <w:r>
              <w:rPr>
                <w:rFonts w:hint="eastAsia" w:ascii="宋体" w:hAnsi="宋体" w:cs="宋体"/>
              </w:rPr>
              <w:t>招标代理机构</w:t>
            </w:r>
          </w:p>
        </w:tc>
        <w:tc>
          <w:tcPr>
            <w:tcW w:w="6104" w:type="dxa"/>
            <w:vAlign w:val="center"/>
          </w:tcPr>
          <w:p w14:paraId="063F198E">
            <w:pPr>
              <w:adjustRightInd w:val="0"/>
              <w:snapToGrid w:val="0"/>
              <w:spacing w:line="400" w:lineRule="exact"/>
              <w:rPr>
                <w:rFonts w:ascii="宋体"/>
              </w:rPr>
            </w:pPr>
            <w:r>
              <w:rPr>
                <w:rFonts w:hint="eastAsia" w:ascii="宋体" w:hAnsi="宋体" w:cs="宋体"/>
              </w:rPr>
              <w:t>名称：南通市通州天元建设监理咨询有限公司</w:t>
            </w:r>
          </w:p>
          <w:p w14:paraId="22548155">
            <w:pPr>
              <w:adjustRightInd w:val="0"/>
              <w:snapToGrid w:val="0"/>
              <w:spacing w:line="400" w:lineRule="exact"/>
              <w:rPr>
                <w:rFonts w:ascii="宋体"/>
              </w:rPr>
            </w:pPr>
            <w:r>
              <w:rPr>
                <w:rFonts w:hint="eastAsia" w:ascii="宋体" w:hAnsi="宋体" w:cs="宋体"/>
              </w:rPr>
              <w:t>地址：通州区润和大厦</w:t>
            </w:r>
            <w:r>
              <w:rPr>
                <w:rFonts w:ascii="宋体" w:hAnsi="宋体" w:cs="宋体"/>
              </w:rPr>
              <w:t>8</w:t>
            </w:r>
            <w:r>
              <w:rPr>
                <w:rFonts w:hint="eastAsia" w:ascii="宋体" w:hAnsi="宋体" w:cs="宋体"/>
              </w:rPr>
              <w:t>楼</w:t>
            </w:r>
          </w:p>
          <w:p w14:paraId="441B4D9D">
            <w:pPr>
              <w:adjustRightInd w:val="0"/>
              <w:snapToGrid w:val="0"/>
              <w:spacing w:line="400" w:lineRule="exact"/>
              <w:rPr>
                <w:rFonts w:ascii="宋体"/>
              </w:rPr>
            </w:pPr>
            <w:r>
              <w:rPr>
                <w:rFonts w:hint="eastAsia" w:ascii="宋体" w:hAnsi="宋体" w:cs="宋体"/>
              </w:rPr>
              <w:t>联系人：俞振飞</w:t>
            </w:r>
          </w:p>
          <w:p w14:paraId="31BC4BA9">
            <w:pPr>
              <w:adjustRightInd w:val="0"/>
              <w:snapToGrid w:val="0"/>
              <w:spacing w:line="400" w:lineRule="exact"/>
              <w:rPr>
                <w:rFonts w:ascii="宋体"/>
              </w:rPr>
            </w:pPr>
            <w:r>
              <w:rPr>
                <w:rFonts w:hint="eastAsia" w:ascii="宋体" w:hAnsi="宋体" w:cs="宋体"/>
              </w:rPr>
              <w:t>电话：</w:t>
            </w:r>
            <w:r>
              <w:rPr>
                <w:rFonts w:ascii="宋体" w:hAnsi="宋体" w:cs="宋体"/>
              </w:rPr>
              <w:t>0513-86516066</w:t>
            </w:r>
          </w:p>
        </w:tc>
      </w:tr>
      <w:tr w14:paraId="2FA997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5" w:hRule="exact"/>
          <w:jc w:val="center"/>
        </w:trPr>
        <w:tc>
          <w:tcPr>
            <w:tcW w:w="871" w:type="dxa"/>
            <w:vAlign w:val="center"/>
          </w:tcPr>
          <w:p w14:paraId="595CEF29">
            <w:pPr>
              <w:adjustRightInd w:val="0"/>
              <w:snapToGrid w:val="0"/>
              <w:spacing w:line="400" w:lineRule="exact"/>
              <w:jc w:val="center"/>
              <w:rPr>
                <w:rFonts w:ascii="宋体"/>
              </w:rPr>
            </w:pPr>
            <w:r>
              <w:rPr>
                <w:rFonts w:ascii="宋体" w:hAnsi="宋体" w:cs="宋体"/>
              </w:rPr>
              <w:t>1.1.4</w:t>
            </w:r>
          </w:p>
        </w:tc>
        <w:tc>
          <w:tcPr>
            <w:tcW w:w="2445" w:type="dxa"/>
            <w:vAlign w:val="center"/>
          </w:tcPr>
          <w:p w14:paraId="2780C410">
            <w:pPr>
              <w:adjustRightInd w:val="0"/>
              <w:snapToGrid w:val="0"/>
              <w:spacing w:line="400" w:lineRule="exact"/>
              <w:rPr>
                <w:rFonts w:ascii="宋体"/>
                <w:highlight w:val="none"/>
              </w:rPr>
            </w:pPr>
            <w:r>
              <w:rPr>
                <w:rFonts w:hint="eastAsia" w:ascii="宋体" w:hAnsi="宋体" w:cs="宋体"/>
                <w:highlight w:val="none"/>
              </w:rPr>
              <w:t>招标项目及标段名称</w:t>
            </w:r>
          </w:p>
        </w:tc>
        <w:tc>
          <w:tcPr>
            <w:tcW w:w="6104" w:type="dxa"/>
            <w:vAlign w:val="center"/>
          </w:tcPr>
          <w:p w14:paraId="45868D91">
            <w:pPr>
              <w:adjustRightInd w:val="0"/>
              <w:snapToGrid w:val="0"/>
              <w:spacing w:line="400" w:lineRule="exact"/>
              <w:rPr>
                <w:rFonts w:hint="eastAsia" w:ascii="宋体" w:hAnsi="宋体" w:cs="宋体"/>
                <w:highlight w:val="none"/>
              </w:rPr>
            </w:pPr>
            <w:r>
              <w:rPr>
                <w:rFonts w:hint="eastAsia" w:ascii="宋体" w:hAnsi="宋体" w:cs="宋体"/>
                <w:highlight w:val="none"/>
              </w:rPr>
              <w:t>西站大道二期给水工程海星电子厂区段顶管</w:t>
            </w:r>
            <w:r>
              <w:rPr>
                <w:rFonts w:hint="eastAsia" w:ascii="宋体" w:hAnsi="宋体" w:cs="宋体"/>
                <w:highlight w:val="none"/>
                <w:lang w:val="en-US" w:eastAsia="zh-CN"/>
              </w:rPr>
              <w:t>专业分包项目</w:t>
            </w:r>
          </w:p>
        </w:tc>
      </w:tr>
      <w:tr w14:paraId="223F2A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871" w:type="dxa"/>
            <w:vAlign w:val="center"/>
          </w:tcPr>
          <w:p w14:paraId="56A640E3">
            <w:pPr>
              <w:adjustRightInd w:val="0"/>
              <w:snapToGrid w:val="0"/>
              <w:spacing w:line="400" w:lineRule="exact"/>
              <w:jc w:val="center"/>
              <w:rPr>
                <w:rFonts w:ascii="宋体"/>
              </w:rPr>
            </w:pPr>
            <w:r>
              <w:rPr>
                <w:rFonts w:ascii="宋体" w:hAnsi="宋体" w:cs="宋体"/>
              </w:rPr>
              <w:t>1.1.5</w:t>
            </w:r>
          </w:p>
        </w:tc>
        <w:tc>
          <w:tcPr>
            <w:tcW w:w="2445" w:type="dxa"/>
            <w:vAlign w:val="center"/>
          </w:tcPr>
          <w:p w14:paraId="17747898">
            <w:pPr>
              <w:adjustRightInd w:val="0"/>
              <w:snapToGrid w:val="0"/>
              <w:spacing w:line="400" w:lineRule="exact"/>
              <w:rPr>
                <w:rFonts w:ascii="宋体"/>
                <w:highlight w:val="none"/>
              </w:rPr>
            </w:pPr>
            <w:r>
              <w:rPr>
                <w:rFonts w:hint="eastAsia" w:ascii="宋体" w:hAnsi="宋体" w:cs="宋体"/>
                <w:highlight w:val="none"/>
              </w:rPr>
              <w:t>建设地点</w:t>
            </w:r>
          </w:p>
        </w:tc>
        <w:tc>
          <w:tcPr>
            <w:tcW w:w="6104" w:type="dxa"/>
            <w:vAlign w:val="center"/>
          </w:tcPr>
          <w:p w14:paraId="7A721164">
            <w:pPr>
              <w:adjustRightInd w:val="0"/>
              <w:snapToGrid w:val="0"/>
              <w:spacing w:line="400" w:lineRule="exact"/>
              <w:rPr>
                <w:rFonts w:ascii="宋体"/>
                <w:highlight w:val="none"/>
              </w:rPr>
            </w:pPr>
            <w:r>
              <w:rPr>
                <w:rFonts w:hint="eastAsia" w:ascii="宋体" w:hAnsi="宋体" w:cs="宋体"/>
                <w:highlight w:val="none"/>
              </w:rPr>
              <w:t>西站大道二期给水工程海星电子厂区段。</w:t>
            </w:r>
          </w:p>
        </w:tc>
      </w:tr>
      <w:tr w14:paraId="7973F3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871" w:type="dxa"/>
            <w:vAlign w:val="center"/>
          </w:tcPr>
          <w:p w14:paraId="16B0F969">
            <w:pPr>
              <w:adjustRightInd w:val="0"/>
              <w:snapToGrid w:val="0"/>
              <w:spacing w:line="400" w:lineRule="exact"/>
              <w:jc w:val="center"/>
              <w:rPr>
                <w:rFonts w:ascii="宋体"/>
              </w:rPr>
            </w:pPr>
            <w:r>
              <w:rPr>
                <w:rFonts w:ascii="宋体" w:hAnsi="宋体" w:cs="宋体"/>
              </w:rPr>
              <w:t>1.2.1</w:t>
            </w:r>
          </w:p>
        </w:tc>
        <w:tc>
          <w:tcPr>
            <w:tcW w:w="2445" w:type="dxa"/>
            <w:vAlign w:val="center"/>
          </w:tcPr>
          <w:p w14:paraId="2FF3F51E">
            <w:pPr>
              <w:adjustRightInd w:val="0"/>
              <w:snapToGrid w:val="0"/>
              <w:spacing w:line="400" w:lineRule="exact"/>
              <w:rPr>
                <w:rFonts w:ascii="宋体"/>
              </w:rPr>
            </w:pPr>
            <w:r>
              <w:rPr>
                <w:rFonts w:hint="eastAsia" w:ascii="宋体" w:hAnsi="宋体" w:cs="宋体"/>
              </w:rPr>
              <w:t>资金来源</w:t>
            </w:r>
          </w:p>
        </w:tc>
        <w:tc>
          <w:tcPr>
            <w:tcW w:w="6104" w:type="dxa"/>
            <w:vAlign w:val="center"/>
          </w:tcPr>
          <w:p w14:paraId="7F3659A9">
            <w:pPr>
              <w:adjustRightInd w:val="0"/>
              <w:snapToGrid w:val="0"/>
              <w:spacing w:line="400" w:lineRule="exact"/>
              <w:rPr>
                <w:rFonts w:ascii="宋体"/>
              </w:rPr>
            </w:pPr>
            <w:r>
              <w:rPr>
                <w:rFonts w:hint="eastAsia" w:ascii="宋体" w:hAnsi="宋体" w:cs="宋体"/>
              </w:rPr>
              <w:t>自筹</w:t>
            </w:r>
          </w:p>
        </w:tc>
      </w:tr>
      <w:tr w14:paraId="4B497D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871" w:type="dxa"/>
            <w:vAlign w:val="center"/>
          </w:tcPr>
          <w:p w14:paraId="733AEB17">
            <w:pPr>
              <w:adjustRightInd w:val="0"/>
              <w:snapToGrid w:val="0"/>
              <w:spacing w:line="400" w:lineRule="exact"/>
              <w:jc w:val="center"/>
              <w:rPr>
                <w:rFonts w:ascii="宋体"/>
              </w:rPr>
            </w:pPr>
            <w:r>
              <w:rPr>
                <w:rFonts w:ascii="宋体" w:hAnsi="宋体" w:cs="宋体"/>
              </w:rPr>
              <w:t>1.2.2</w:t>
            </w:r>
          </w:p>
        </w:tc>
        <w:tc>
          <w:tcPr>
            <w:tcW w:w="2445" w:type="dxa"/>
            <w:vAlign w:val="center"/>
          </w:tcPr>
          <w:p w14:paraId="74FDFB9E">
            <w:pPr>
              <w:adjustRightInd w:val="0"/>
              <w:snapToGrid w:val="0"/>
              <w:spacing w:line="400" w:lineRule="exact"/>
              <w:rPr>
                <w:rFonts w:ascii="宋体"/>
              </w:rPr>
            </w:pPr>
            <w:r>
              <w:rPr>
                <w:rFonts w:hint="eastAsia" w:ascii="宋体" w:hAnsi="宋体" w:cs="宋体"/>
              </w:rPr>
              <w:t>出资比例</w:t>
            </w:r>
          </w:p>
        </w:tc>
        <w:tc>
          <w:tcPr>
            <w:tcW w:w="6104" w:type="dxa"/>
            <w:vAlign w:val="center"/>
          </w:tcPr>
          <w:p w14:paraId="66140993">
            <w:pPr>
              <w:adjustRightInd w:val="0"/>
              <w:snapToGrid w:val="0"/>
              <w:spacing w:line="400" w:lineRule="exact"/>
              <w:rPr>
                <w:rFonts w:ascii="宋体"/>
              </w:rPr>
            </w:pPr>
            <w:r>
              <w:rPr>
                <w:rFonts w:hint="eastAsia" w:ascii="宋体" w:hAnsi="宋体" w:cs="宋体"/>
              </w:rPr>
              <w:t>/</w:t>
            </w:r>
          </w:p>
        </w:tc>
      </w:tr>
      <w:tr w14:paraId="1F9E74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exact"/>
          <w:jc w:val="center"/>
        </w:trPr>
        <w:tc>
          <w:tcPr>
            <w:tcW w:w="871" w:type="dxa"/>
            <w:vAlign w:val="center"/>
          </w:tcPr>
          <w:p w14:paraId="65F73C46">
            <w:pPr>
              <w:adjustRightInd w:val="0"/>
              <w:snapToGrid w:val="0"/>
              <w:spacing w:line="400" w:lineRule="exact"/>
              <w:jc w:val="center"/>
              <w:rPr>
                <w:rFonts w:ascii="宋体"/>
              </w:rPr>
            </w:pPr>
            <w:r>
              <w:rPr>
                <w:rFonts w:ascii="宋体" w:hAnsi="宋体" w:cs="宋体"/>
              </w:rPr>
              <w:t>1.2.3</w:t>
            </w:r>
          </w:p>
        </w:tc>
        <w:tc>
          <w:tcPr>
            <w:tcW w:w="2445" w:type="dxa"/>
            <w:vAlign w:val="center"/>
          </w:tcPr>
          <w:p w14:paraId="7614F13F">
            <w:pPr>
              <w:adjustRightInd w:val="0"/>
              <w:snapToGrid w:val="0"/>
              <w:spacing w:line="400" w:lineRule="exact"/>
              <w:rPr>
                <w:rFonts w:ascii="宋体"/>
              </w:rPr>
            </w:pPr>
            <w:r>
              <w:rPr>
                <w:rFonts w:hint="eastAsia" w:ascii="宋体" w:hAnsi="宋体" w:cs="宋体"/>
              </w:rPr>
              <w:t>资金落实情况</w:t>
            </w:r>
          </w:p>
        </w:tc>
        <w:tc>
          <w:tcPr>
            <w:tcW w:w="6104" w:type="dxa"/>
            <w:vAlign w:val="center"/>
          </w:tcPr>
          <w:p w14:paraId="3C5665C5">
            <w:pPr>
              <w:adjustRightInd w:val="0"/>
              <w:snapToGrid w:val="0"/>
              <w:spacing w:line="400" w:lineRule="exact"/>
              <w:rPr>
                <w:rFonts w:ascii="宋体"/>
              </w:rPr>
            </w:pPr>
            <w:r>
              <w:rPr>
                <w:rFonts w:hint="eastAsia" w:ascii="宋体" w:hAnsi="宋体" w:cs="宋体"/>
              </w:rPr>
              <w:t>已落实</w:t>
            </w:r>
          </w:p>
        </w:tc>
      </w:tr>
      <w:tr w14:paraId="49192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4" w:hRule="exact"/>
          <w:jc w:val="center"/>
        </w:trPr>
        <w:tc>
          <w:tcPr>
            <w:tcW w:w="871" w:type="dxa"/>
            <w:vAlign w:val="center"/>
          </w:tcPr>
          <w:p w14:paraId="21A15BB0">
            <w:pPr>
              <w:adjustRightInd w:val="0"/>
              <w:snapToGrid w:val="0"/>
              <w:spacing w:line="400" w:lineRule="exact"/>
              <w:jc w:val="center"/>
              <w:rPr>
                <w:rFonts w:ascii="宋体"/>
              </w:rPr>
            </w:pPr>
            <w:r>
              <w:rPr>
                <w:rFonts w:ascii="宋体" w:hAnsi="宋体" w:cs="宋体"/>
              </w:rPr>
              <w:t>1.2.4</w:t>
            </w:r>
          </w:p>
        </w:tc>
        <w:tc>
          <w:tcPr>
            <w:tcW w:w="2445" w:type="dxa"/>
            <w:vAlign w:val="center"/>
          </w:tcPr>
          <w:p w14:paraId="752078F6">
            <w:pPr>
              <w:adjustRightInd w:val="0"/>
              <w:snapToGrid w:val="0"/>
              <w:spacing w:line="40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工程款支付方式</w:t>
            </w:r>
          </w:p>
        </w:tc>
        <w:tc>
          <w:tcPr>
            <w:tcW w:w="6104" w:type="dxa"/>
            <w:vAlign w:val="center"/>
          </w:tcPr>
          <w:p w14:paraId="7779D753">
            <w:pPr>
              <w:numPr>
                <w:ilvl w:val="0"/>
                <w:numId w:val="2"/>
              </w:numPr>
              <w:spacing w:line="400" w:lineRule="exact"/>
              <w:ind w:left="0"/>
              <w:jc w:val="left"/>
              <w:rPr>
                <w:rFonts w:ascii="宋体"/>
                <w:kern w:val="0"/>
                <w:highlight w:val="none"/>
              </w:rPr>
            </w:pPr>
            <w:r>
              <w:rPr>
                <w:rFonts w:hint="eastAsia" w:ascii="宋体" w:hAnsi="宋体" w:cs="宋体"/>
                <w:b/>
                <w:bCs/>
                <w:kern w:val="0"/>
                <w:highlight w:val="none"/>
              </w:rPr>
              <w:t>1、工程进度款支付</w:t>
            </w:r>
            <w:r>
              <w:rPr>
                <w:rFonts w:hint="eastAsia" w:ascii="宋体" w:hAnsi="宋体" w:cs="宋体"/>
                <w:kern w:val="0"/>
                <w:highlight w:val="none"/>
              </w:rPr>
              <w:t>：</w:t>
            </w:r>
          </w:p>
          <w:p w14:paraId="57B21426">
            <w:pPr>
              <w:spacing w:line="400" w:lineRule="exact"/>
              <w:rPr>
                <w:rFonts w:ascii="宋体" w:hAnsi="宋体"/>
                <w:bCs/>
                <w:highlight w:val="none"/>
              </w:rPr>
            </w:pPr>
            <w:r>
              <w:rPr>
                <w:rFonts w:hint="eastAsia" w:ascii="宋体" w:hAnsi="宋体"/>
                <w:b/>
                <w:bCs/>
                <w:highlight w:val="none"/>
              </w:rPr>
              <w:t>（1）工程试压验收合格后一个月内支付合同价款的50%；</w:t>
            </w:r>
          </w:p>
          <w:p w14:paraId="353180DE">
            <w:pPr>
              <w:spacing w:line="400" w:lineRule="exact"/>
              <w:rPr>
                <w:rFonts w:ascii="宋体" w:hAnsi="宋体"/>
                <w:b/>
                <w:highlight w:val="none"/>
              </w:rPr>
            </w:pPr>
            <w:r>
              <w:rPr>
                <w:rFonts w:hint="eastAsia" w:ascii="宋体" w:hAnsi="宋体"/>
                <w:b/>
                <w:bCs/>
                <w:highlight w:val="none"/>
              </w:rPr>
              <w:t>（2）工程竣工验收合格且审计结束后一个月内付至审计价款的97%（不计息）</w:t>
            </w:r>
            <w:r>
              <w:rPr>
                <w:rFonts w:hint="eastAsia" w:ascii="宋体" w:hAnsi="宋体"/>
                <w:b/>
                <w:bCs/>
                <w:highlight w:val="none"/>
                <w:lang w:eastAsia="zh-CN"/>
              </w:rPr>
              <w:t>，</w:t>
            </w:r>
            <w:r>
              <w:rPr>
                <w:rFonts w:hint="eastAsia" w:ascii="宋体" w:hAnsi="宋体"/>
                <w:b/>
                <w:bCs/>
                <w:highlight w:val="none"/>
                <w:u w:val="none"/>
                <w:lang w:val="en-US" w:eastAsia="zh-CN"/>
              </w:rPr>
              <w:t>同时须提供加盖公章的第三方监测费用付款发票复印件</w:t>
            </w:r>
            <w:r>
              <w:rPr>
                <w:rFonts w:hint="eastAsia" w:ascii="宋体" w:hAnsi="宋体"/>
                <w:b/>
                <w:highlight w:val="none"/>
              </w:rPr>
              <w:t>；</w:t>
            </w:r>
          </w:p>
          <w:p w14:paraId="6F95163D">
            <w:pPr>
              <w:spacing w:line="400" w:lineRule="exact"/>
              <w:rPr>
                <w:rFonts w:ascii="宋体" w:hAnsi="宋体"/>
                <w:b/>
                <w:highlight w:val="none"/>
              </w:rPr>
            </w:pPr>
            <w:r>
              <w:rPr>
                <w:rFonts w:hint="eastAsia" w:ascii="宋体" w:hAnsi="宋体"/>
                <w:b/>
                <w:bCs/>
                <w:highlight w:val="none"/>
              </w:rPr>
              <w:t>（3）工程竣工验收合格满二年后付清余款（不计息）</w:t>
            </w:r>
            <w:r>
              <w:rPr>
                <w:rFonts w:hint="eastAsia" w:ascii="宋体" w:hAnsi="宋体"/>
                <w:b/>
                <w:highlight w:val="none"/>
              </w:rPr>
              <w:t>。</w:t>
            </w:r>
          </w:p>
          <w:p w14:paraId="11C1A2AA">
            <w:pPr>
              <w:spacing w:line="400" w:lineRule="exact"/>
              <w:rPr>
                <w:rFonts w:ascii="宋体" w:hAnsi="宋体"/>
                <w:b/>
                <w:bCs/>
                <w:color w:val="000000"/>
                <w:highlight w:val="none"/>
              </w:rPr>
            </w:pPr>
            <w:r>
              <w:rPr>
                <w:rFonts w:hint="eastAsia" w:ascii="宋体" w:hAnsi="宋体"/>
                <w:b/>
                <w:bCs/>
                <w:color w:val="000000"/>
                <w:highlight w:val="none"/>
              </w:rPr>
              <w:t>（4）每次支付前，承包人每次领取合同价款时应当开具南通市通州区税务管理部门的正式税票，否则发包人有权拒付。</w:t>
            </w:r>
          </w:p>
        </w:tc>
      </w:tr>
      <w:tr w14:paraId="1DC57B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71" w:type="dxa"/>
            <w:vAlign w:val="center"/>
          </w:tcPr>
          <w:p w14:paraId="789449C2">
            <w:pPr>
              <w:adjustRightInd w:val="0"/>
              <w:snapToGrid w:val="0"/>
              <w:spacing w:line="400" w:lineRule="exact"/>
              <w:jc w:val="center"/>
              <w:rPr>
                <w:rFonts w:ascii="宋体"/>
              </w:rPr>
            </w:pPr>
            <w:r>
              <w:rPr>
                <w:rFonts w:ascii="宋体" w:hAnsi="宋体" w:cs="宋体"/>
              </w:rPr>
              <w:t>1.3.1</w:t>
            </w:r>
          </w:p>
        </w:tc>
        <w:tc>
          <w:tcPr>
            <w:tcW w:w="2445" w:type="dxa"/>
            <w:vAlign w:val="center"/>
          </w:tcPr>
          <w:p w14:paraId="1F231BD8">
            <w:pPr>
              <w:adjustRightInd w:val="0"/>
              <w:snapToGrid w:val="0"/>
              <w:spacing w:line="400" w:lineRule="exact"/>
              <w:rPr>
                <w:rFonts w:ascii="宋体"/>
                <w:highlight w:val="none"/>
              </w:rPr>
            </w:pPr>
            <w:r>
              <w:rPr>
                <w:rFonts w:hint="eastAsia" w:ascii="宋体" w:hAnsi="宋体" w:cs="宋体"/>
                <w:highlight w:val="none"/>
              </w:rPr>
              <w:t>招标范围</w:t>
            </w:r>
          </w:p>
        </w:tc>
        <w:tc>
          <w:tcPr>
            <w:tcW w:w="6104" w:type="dxa"/>
            <w:vAlign w:val="center"/>
          </w:tcPr>
          <w:p w14:paraId="657C2B87">
            <w:pPr>
              <w:spacing w:line="400" w:lineRule="exact"/>
              <w:jc w:val="left"/>
              <w:rPr>
                <w:rFonts w:hint="eastAsia" w:ascii="宋体" w:hAnsi="宋体" w:eastAsia="宋体"/>
                <w:bCs/>
                <w:highlight w:val="none"/>
                <w:lang w:eastAsia="zh-CN"/>
              </w:rPr>
            </w:pPr>
            <w:r>
              <w:rPr>
                <w:rFonts w:hint="eastAsia" w:ascii="宋体" w:hAnsi="宋体" w:cs="宋体"/>
                <w:kern w:val="0"/>
                <w:highlight w:val="none"/>
              </w:rPr>
              <w:t>施工图所含全部内容，工程量清单仅供参考</w:t>
            </w:r>
          </w:p>
        </w:tc>
      </w:tr>
      <w:tr w14:paraId="08294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73F3886B">
            <w:pPr>
              <w:adjustRightInd w:val="0"/>
              <w:snapToGrid w:val="0"/>
              <w:spacing w:line="400" w:lineRule="exact"/>
              <w:jc w:val="center"/>
              <w:rPr>
                <w:rFonts w:ascii="宋体"/>
              </w:rPr>
            </w:pPr>
            <w:r>
              <w:rPr>
                <w:rFonts w:ascii="宋体" w:hAnsi="宋体" w:cs="宋体"/>
              </w:rPr>
              <w:t>1.3.2</w:t>
            </w:r>
          </w:p>
        </w:tc>
        <w:tc>
          <w:tcPr>
            <w:tcW w:w="2445" w:type="dxa"/>
            <w:vAlign w:val="center"/>
          </w:tcPr>
          <w:p w14:paraId="5F3A66F6">
            <w:pPr>
              <w:adjustRightInd w:val="0"/>
              <w:snapToGrid w:val="0"/>
              <w:spacing w:line="400" w:lineRule="exact"/>
              <w:rPr>
                <w:rFonts w:ascii="宋体"/>
                <w:highlight w:val="none"/>
              </w:rPr>
            </w:pPr>
            <w:r>
              <w:rPr>
                <w:rFonts w:hint="eastAsia" w:ascii="宋体" w:hAnsi="宋体" w:cs="宋体"/>
                <w:highlight w:val="none"/>
              </w:rPr>
              <w:t>要求工期</w:t>
            </w:r>
          </w:p>
        </w:tc>
        <w:tc>
          <w:tcPr>
            <w:tcW w:w="6104" w:type="dxa"/>
          </w:tcPr>
          <w:p w14:paraId="22705A60">
            <w:pPr>
              <w:adjustRightInd w:val="0"/>
              <w:snapToGrid w:val="0"/>
              <w:spacing w:line="400" w:lineRule="exact"/>
              <w:rPr>
                <w:rFonts w:ascii="宋体" w:hAnsi="宋体" w:cs="宋体"/>
                <w:highlight w:val="none"/>
              </w:rPr>
            </w:pPr>
            <w:r>
              <w:rPr>
                <w:rFonts w:hint="eastAsia" w:ascii="宋体" w:hAnsi="宋体" w:cs="宋体"/>
                <w:highlight w:val="none"/>
              </w:rPr>
              <w:t>总工期</w:t>
            </w:r>
            <w:r>
              <w:rPr>
                <w:rFonts w:hint="eastAsia" w:ascii="宋体" w:hAnsi="宋体" w:cs="宋体"/>
                <w:highlight w:val="none"/>
                <w:lang w:val="en-US" w:eastAsia="zh-CN"/>
              </w:rPr>
              <w:t>150</w:t>
            </w:r>
            <w:r>
              <w:rPr>
                <w:rFonts w:hint="eastAsia" w:ascii="宋体" w:hAnsi="宋体" w:cs="宋体"/>
                <w:highlight w:val="none"/>
              </w:rPr>
              <w:t>日历天（含不可预知的停工、阻工时间，不可抗力引起的延期除外）</w:t>
            </w:r>
          </w:p>
        </w:tc>
      </w:tr>
      <w:tr w14:paraId="2A2DC1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tcPr>
          <w:p w14:paraId="50C9B6C2">
            <w:pPr>
              <w:adjustRightInd w:val="0"/>
              <w:snapToGrid w:val="0"/>
              <w:spacing w:line="400" w:lineRule="exact"/>
              <w:jc w:val="center"/>
              <w:rPr>
                <w:rFonts w:ascii="宋体"/>
              </w:rPr>
            </w:pPr>
            <w:r>
              <w:rPr>
                <w:rFonts w:ascii="宋体" w:hAnsi="宋体" w:cs="宋体"/>
              </w:rPr>
              <w:t>1.3.3</w:t>
            </w:r>
          </w:p>
        </w:tc>
        <w:tc>
          <w:tcPr>
            <w:tcW w:w="2445" w:type="dxa"/>
          </w:tcPr>
          <w:p w14:paraId="56CF659E">
            <w:pPr>
              <w:adjustRightInd w:val="0"/>
              <w:snapToGrid w:val="0"/>
              <w:spacing w:line="400" w:lineRule="exact"/>
              <w:rPr>
                <w:rFonts w:ascii="宋体"/>
              </w:rPr>
            </w:pPr>
            <w:r>
              <w:rPr>
                <w:rFonts w:hint="eastAsia" w:ascii="宋体" w:hAnsi="宋体" w:cs="宋体"/>
              </w:rPr>
              <w:t>质量要求</w:t>
            </w:r>
          </w:p>
        </w:tc>
        <w:tc>
          <w:tcPr>
            <w:tcW w:w="6104" w:type="dxa"/>
          </w:tcPr>
          <w:p w14:paraId="564B14F5">
            <w:pPr>
              <w:adjustRightInd w:val="0"/>
              <w:snapToGrid w:val="0"/>
              <w:spacing w:line="400" w:lineRule="exact"/>
              <w:rPr>
                <w:rFonts w:hAnsi="宋体"/>
              </w:rPr>
            </w:pPr>
            <w:r>
              <w:rPr>
                <w:rFonts w:hint="eastAsia" w:hAnsi="宋体"/>
              </w:rPr>
              <w:t>质量标准：合格</w:t>
            </w:r>
          </w:p>
          <w:p w14:paraId="4E52803D">
            <w:pPr>
              <w:adjustRightInd w:val="0"/>
              <w:snapToGrid w:val="0"/>
              <w:spacing w:line="400" w:lineRule="exact"/>
              <w:rPr>
                <w:rFonts w:hAnsi="宋体"/>
              </w:rPr>
            </w:pPr>
            <w:r>
              <w:rPr>
                <w:rFonts w:hint="eastAsia" w:hAnsi="宋体"/>
              </w:rPr>
              <w:t>质量要求：</w:t>
            </w:r>
          </w:p>
          <w:p w14:paraId="4240350D">
            <w:pPr>
              <w:adjustRightInd w:val="0"/>
              <w:snapToGrid w:val="0"/>
              <w:spacing w:line="400" w:lineRule="exact"/>
              <w:rPr>
                <w:rFonts w:hAnsi="宋体"/>
              </w:rPr>
            </w:pPr>
            <w:r>
              <w:rPr>
                <w:rFonts w:hint="eastAsia" w:hAnsi="宋体"/>
              </w:rPr>
              <w:t>（1）符合施工图设计质量要求及相关规范要求。</w:t>
            </w:r>
          </w:p>
          <w:p w14:paraId="0D869999">
            <w:pPr>
              <w:adjustRightInd w:val="0"/>
              <w:snapToGrid w:val="0"/>
              <w:spacing w:line="400" w:lineRule="exact"/>
              <w:rPr>
                <w:rFonts w:hAnsi="宋体"/>
              </w:rPr>
            </w:pPr>
            <w:r>
              <w:rPr>
                <w:rFonts w:hint="eastAsia" w:hAnsi="宋体"/>
              </w:rPr>
              <w:t>（2）符合公路管理部门审批</w:t>
            </w:r>
            <w:r>
              <w:rPr>
                <w:rFonts w:hint="eastAsia" w:hAnsi="宋体"/>
                <w:lang w:val="en-US" w:eastAsia="zh-CN"/>
              </w:rPr>
              <w:t>及危大工程评审完成的</w:t>
            </w:r>
            <w:r>
              <w:rPr>
                <w:rFonts w:hint="eastAsia" w:hAnsi="宋体"/>
              </w:rPr>
              <w:t>施工方案要求。</w:t>
            </w:r>
          </w:p>
          <w:p w14:paraId="4F210960">
            <w:pPr>
              <w:adjustRightInd w:val="0"/>
              <w:snapToGrid w:val="0"/>
              <w:spacing w:line="400" w:lineRule="exact"/>
              <w:rPr>
                <w:rFonts w:hAnsi="宋体"/>
              </w:rPr>
            </w:pPr>
            <w:r>
              <w:rPr>
                <w:rFonts w:hint="eastAsia" w:hAnsi="宋体"/>
              </w:rPr>
              <w:t>（3）应采取足够技术措施或采用合理施工工艺使管道周围不留有空隙或空隙量最小。</w:t>
            </w:r>
          </w:p>
          <w:p w14:paraId="61B9D24D">
            <w:pPr>
              <w:adjustRightInd w:val="0"/>
              <w:snapToGrid w:val="0"/>
              <w:spacing w:line="400" w:lineRule="exact"/>
              <w:rPr>
                <w:rFonts w:hAnsi="宋体"/>
              </w:rPr>
            </w:pPr>
            <w:r>
              <w:rPr>
                <w:rFonts w:hint="eastAsia" w:hAnsi="宋体"/>
              </w:rPr>
              <w:t>（4）施工时不得影响路面交通行驶，施工结束后所做工程不得影响道路质量，不得影响或损坏原有地埋管线及地面构筑物。</w:t>
            </w:r>
          </w:p>
          <w:p w14:paraId="2D6CCBC9">
            <w:pPr>
              <w:adjustRightInd w:val="0"/>
              <w:snapToGrid w:val="0"/>
              <w:spacing w:line="400" w:lineRule="exact"/>
              <w:rPr>
                <w:rFonts w:hAnsi="宋体"/>
              </w:rPr>
            </w:pPr>
            <w:r>
              <w:rPr>
                <w:rFonts w:hint="eastAsia" w:hAnsi="宋体"/>
              </w:rPr>
              <w:t>（5）管道标高等符合施工图设计要求。</w:t>
            </w:r>
          </w:p>
        </w:tc>
      </w:tr>
      <w:tr w14:paraId="5CE66D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6179E578">
            <w:pPr>
              <w:adjustRightInd w:val="0"/>
              <w:snapToGrid w:val="0"/>
              <w:spacing w:line="400" w:lineRule="exact"/>
              <w:jc w:val="center"/>
              <w:rPr>
                <w:rFonts w:ascii="宋体"/>
              </w:rPr>
            </w:pPr>
            <w:r>
              <w:rPr>
                <w:rFonts w:ascii="宋体" w:hAnsi="宋体" w:cs="宋体"/>
              </w:rPr>
              <w:t>1.4.1</w:t>
            </w:r>
          </w:p>
        </w:tc>
        <w:tc>
          <w:tcPr>
            <w:tcW w:w="2445" w:type="dxa"/>
            <w:vAlign w:val="center"/>
          </w:tcPr>
          <w:p w14:paraId="2DFEE1AC">
            <w:pPr>
              <w:adjustRightInd w:val="0"/>
              <w:snapToGrid w:val="0"/>
              <w:spacing w:line="400" w:lineRule="exact"/>
              <w:rPr>
                <w:rFonts w:ascii="宋体"/>
                <w:highlight w:val="none"/>
              </w:rPr>
            </w:pPr>
            <w:r>
              <w:rPr>
                <w:rFonts w:hint="eastAsia" w:ascii="宋体" w:hAnsi="宋体" w:cs="宋体"/>
                <w:highlight w:val="none"/>
              </w:rPr>
              <w:t>投标人资格要求</w:t>
            </w:r>
          </w:p>
        </w:tc>
        <w:tc>
          <w:tcPr>
            <w:tcW w:w="6104" w:type="dxa"/>
          </w:tcPr>
          <w:p w14:paraId="7169199C">
            <w:pPr>
              <w:adjustRightInd w:val="0"/>
              <w:snapToGrid w:val="0"/>
              <w:spacing w:line="400" w:lineRule="exact"/>
              <w:rPr>
                <w:rFonts w:ascii="宋体" w:hAnsi="宋体" w:cs="宋体"/>
                <w:b/>
                <w:highlight w:val="none"/>
              </w:rPr>
            </w:pPr>
            <w:r>
              <w:rPr>
                <w:rFonts w:hint="eastAsia" w:ascii="宋体" w:hAnsi="宋体" w:cs="宋体"/>
                <w:highlight w:val="none"/>
              </w:rPr>
              <w:t>市政公用工程施工总承包</w:t>
            </w:r>
            <w:r>
              <w:rPr>
                <w:rFonts w:hint="eastAsia" w:ascii="宋体" w:hAnsi="宋体" w:cs="宋体"/>
                <w:highlight w:val="none"/>
                <w:lang w:eastAsia="zh-CN"/>
              </w:rPr>
              <w:t>贰</w:t>
            </w:r>
            <w:r>
              <w:rPr>
                <w:rFonts w:hint="eastAsia" w:ascii="宋体" w:hAnsi="宋体" w:cs="宋体"/>
                <w:highlight w:val="none"/>
              </w:rPr>
              <w:t>级及以上资质</w:t>
            </w:r>
          </w:p>
        </w:tc>
      </w:tr>
      <w:tr w14:paraId="12E330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1" w:type="dxa"/>
            <w:vAlign w:val="center"/>
          </w:tcPr>
          <w:p w14:paraId="78DDED68">
            <w:pPr>
              <w:adjustRightInd w:val="0"/>
              <w:snapToGrid w:val="0"/>
              <w:spacing w:line="400" w:lineRule="exact"/>
              <w:jc w:val="center"/>
              <w:rPr>
                <w:rFonts w:ascii="宋体"/>
              </w:rPr>
            </w:pPr>
            <w:r>
              <w:rPr>
                <w:rFonts w:ascii="宋体" w:hAnsi="宋体" w:cs="宋体"/>
              </w:rPr>
              <w:t>1.4.2</w:t>
            </w:r>
          </w:p>
        </w:tc>
        <w:tc>
          <w:tcPr>
            <w:tcW w:w="2445" w:type="dxa"/>
            <w:vAlign w:val="center"/>
          </w:tcPr>
          <w:p w14:paraId="78F45AA3">
            <w:pPr>
              <w:adjustRightInd w:val="0"/>
              <w:snapToGrid w:val="0"/>
              <w:spacing w:line="400" w:lineRule="exact"/>
              <w:rPr>
                <w:rFonts w:ascii="宋体"/>
              </w:rPr>
            </w:pPr>
            <w:r>
              <w:rPr>
                <w:rFonts w:hint="eastAsia" w:ascii="宋体" w:hAnsi="宋体" w:cs="宋体"/>
              </w:rPr>
              <w:t>是否接受联合体投标</w:t>
            </w:r>
          </w:p>
        </w:tc>
        <w:tc>
          <w:tcPr>
            <w:tcW w:w="6104" w:type="dxa"/>
            <w:vAlign w:val="center"/>
          </w:tcPr>
          <w:p w14:paraId="2BF005FF">
            <w:pPr>
              <w:adjustRightInd w:val="0"/>
              <w:snapToGrid w:val="0"/>
              <w:spacing w:line="400" w:lineRule="exact"/>
              <w:rPr>
                <w:rFonts w:ascii="宋体"/>
              </w:rPr>
            </w:pPr>
            <w:r>
              <w:rPr>
                <w:rFonts w:hint="eastAsia" w:ascii="宋体" w:hAnsi="宋体" w:cs="宋体"/>
              </w:rPr>
              <w:t>不接受</w:t>
            </w:r>
          </w:p>
        </w:tc>
      </w:tr>
      <w:tr w14:paraId="0F1C9F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1" w:type="dxa"/>
            <w:vAlign w:val="center"/>
          </w:tcPr>
          <w:p w14:paraId="5B700B97">
            <w:pPr>
              <w:adjustRightInd w:val="0"/>
              <w:snapToGrid w:val="0"/>
              <w:spacing w:line="400" w:lineRule="exact"/>
              <w:jc w:val="center"/>
              <w:rPr>
                <w:rFonts w:ascii="宋体"/>
              </w:rPr>
            </w:pPr>
            <w:r>
              <w:rPr>
                <w:rFonts w:ascii="宋体" w:hAnsi="宋体" w:cs="宋体"/>
              </w:rPr>
              <w:t>1.9.1</w:t>
            </w:r>
          </w:p>
        </w:tc>
        <w:tc>
          <w:tcPr>
            <w:tcW w:w="2445" w:type="dxa"/>
            <w:vAlign w:val="center"/>
          </w:tcPr>
          <w:p w14:paraId="31FA527C">
            <w:pPr>
              <w:adjustRightInd w:val="0"/>
              <w:snapToGrid w:val="0"/>
              <w:spacing w:line="400" w:lineRule="exact"/>
              <w:rPr>
                <w:rFonts w:ascii="宋体"/>
              </w:rPr>
            </w:pPr>
            <w:r>
              <w:rPr>
                <w:rFonts w:hint="eastAsia" w:ascii="宋体" w:hAnsi="宋体" w:cs="宋体"/>
              </w:rPr>
              <w:t>踏勘现场</w:t>
            </w:r>
          </w:p>
        </w:tc>
        <w:tc>
          <w:tcPr>
            <w:tcW w:w="6104" w:type="dxa"/>
            <w:vAlign w:val="center"/>
          </w:tcPr>
          <w:p w14:paraId="00D47377">
            <w:pPr>
              <w:adjustRightInd w:val="0"/>
              <w:snapToGrid w:val="0"/>
              <w:spacing w:line="400" w:lineRule="exact"/>
              <w:rPr>
                <w:rFonts w:ascii="宋体"/>
              </w:rPr>
            </w:pPr>
            <w:r>
              <w:rPr>
                <w:rFonts w:hint="eastAsia" w:ascii="宋体" w:hAnsi="宋体" w:cs="宋体"/>
              </w:rPr>
              <w:t>投标人自行踏勘。</w:t>
            </w:r>
          </w:p>
        </w:tc>
      </w:tr>
      <w:tr w14:paraId="2CE0E1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67F30C85">
            <w:pPr>
              <w:adjustRightInd w:val="0"/>
              <w:snapToGrid w:val="0"/>
              <w:spacing w:line="400" w:lineRule="exact"/>
              <w:jc w:val="center"/>
              <w:rPr>
                <w:rFonts w:ascii="宋体"/>
              </w:rPr>
            </w:pPr>
            <w:r>
              <w:rPr>
                <w:rFonts w:ascii="宋体" w:hAnsi="宋体" w:cs="宋体"/>
              </w:rPr>
              <w:t>1.10</w:t>
            </w:r>
          </w:p>
        </w:tc>
        <w:tc>
          <w:tcPr>
            <w:tcW w:w="2445" w:type="dxa"/>
            <w:vAlign w:val="center"/>
          </w:tcPr>
          <w:p w14:paraId="462446EB">
            <w:pPr>
              <w:adjustRightInd w:val="0"/>
              <w:snapToGrid w:val="0"/>
              <w:spacing w:line="400" w:lineRule="exact"/>
              <w:rPr>
                <w:rFonts w:ascii="宋体"/>
              </w:rPr>
            </w:pPr>
            <w:r>
              <w:rPr>
                <w:rFonts w:hint="eastAsia" w:ascii="宋体" w:hAnsi="宋体" w:cs="宋体"/>
              </w:rPr>
              <w:t>分包</w:t>
            </w:r>
          </w:p>
        </w:tc>
        <w:tc>
          <w:tcPr>
            <w:tcW w:w="6104" w:type="dxa"/>
            <w:vAlign w:val="center"/>
          </w:tcPr>
          <w:p w14:paraId="0C0E234F">
            <w:pPr>
              <w:adjustRightInd w:val="0"/>
              <w:snapToGrid w:val="0"/>
              <w:spacing w:line="400" w:lineRule="exact"/>
              <w:rPr>
                <w:rFonts w:ascii="宋体"/>
              </w:rPr>
            </w:pPr>
            <w:r>
              <w:rPr>
                <w:rFonts w:hint="eastAsia" w:ascii="MS Mincho" w:hAnsi="MS Mincho" w:eastAsia="MS Mincho" w:cs="MS Mincho"/>
              </w:rPr>
              <w:t>☑</w:t>
            </w:r>
            <w:r>
              <w:rPr>
                <w:rFonts w:hint="eastAsia" w:ascii="宋体" w:hAnsi="宋体" w:cs="宋体"/>
              </w:rPr>
              <w:t>不允许</w:t>
            </w:r>
          </w:p>
          <w:p w14:paraId="43BFCB74">
            <w:pPr>
              <w:adjustRightInd w:val="0"/>
              <w:snapToGrid w:val="0"/>
              <w:spacing w:line="400" w:lineRule="exact"/>
              <w:rPr>
                <w:rFonts w:ascii="宋体"/>
              </w:rPr>
            </w:pPr>
            <w:r>
              <w:rPr>
                <w:rFonts w:hint="eastAsia" w:ascii="宋体" w:hAnsi="宋体" w:cs="宋体"/>
              </w:rPr>
              <w:t>□允许，分包内容要求</w:t>
            </w:r>
          </w:p>
          <w:p w14:paraId="130BF222">
            <w:pPr>
              <w:adjustRightInd w:val="0"/>
              <w:snapToGrid w:val="0"/>
              <w:spacing w:line="400" w:lineRule="exact"/>
              <w:rPr>
                <w:rFonts w:ascii="宋体"/>
              </w:rPr>
            </w:pPr>
            <w:r>
              <w:rPr>
                <w:rFonts w:hint="eastAsia" w:ascii="宋体" w:hAnsi="宋体" w:cs="宋体"/>
              </w:rPr>
              <w:t>分包金额要求：</w:t>
            </w:r>
          </w:p>
          <w:p w14:paraId="3E962A74">
            <w:pPr>
              <w:adjustRightInd w:val="0"/>
              <w:snapToGrid w:val="0"/>
              <w:spacing w:line="400" w:lineRule="exact"/>
              <w:rPr>
                <w:rFonts w:ascii="Calibri" w:hAnsi="Calibri" w:cs="Calibri"/>
              </w:rPr>
            </w:pPr>
            <w:r>
              <w:rPr>
                <w:rFonts w:hint="eastAsia" w:ascii="宋体" w:hAnsi="宋体" w:cs="宋体"/>
              </w:rPr>
              <w:t>接受分包的第三人资质要求：</w:t>
            </w:r>
          </w:p>
        </w:tc>
      </w:tr>
      <w:tr w14:paraId="10DCB0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71" w:type="dxa"/>
            <w:vAlign w:val="center"/>
          </w:tcPr>
          <w:p w14:paraId="1855255B">
            <w:pPr>
              <w:adjustRightInd w:val="0"/>
              <w:snapToGrid w:val="0"/>
              <w:spacing w:line="400" w:lineRule="exact"/>
              <w:jc w:val="center"/>
              <w:rPr>
                <w:rFonts w:ascii="宋体"/>
              </w:rPr>
            </w:pPr>
            <w:r>
              <w:rPr>
                <w:rFonts w:ascii="宋体" w:hAnsi="宋体" w:cs="宋体"/>
              </w:rPr>
              <w:t>1.11</w:t>
            </w:r>
          </w:p>
        </w:tc>
        <w:tc>
          <w:tcPr>
            <w:tcW w:w="2445" w:type="dxa"/>
            <w:vAlign w:val="center"/>
          </w:tcPr>
          <w:p w14:paraId="2366E346">
            <w:pPr>
              <w:adjustRightInd w:val="0"/>
              <w:snapToGrid w:val="0"/>
              <w:spacing w:line="400" w:lineRule="exact"/>
              <w:rPr>
                <w:rFonts w:ascii="宋体"/>
              </w:rPr>
            </w:pPr>
            <w:r>
              <w:rPr>
                <w:rFonts w:hint="eastAsia" w:ascii="宋体" w:hAnsi="宋体" w:cs="宋体"/>
              </w:rPr>
              <w:t>偏离</w:t>
            </w:r>
          </w:p>
        </w:tc>
        <w:tc>
          <w:tcPr>
            <w:tcW w:w="6104" w:type="dxa"/>
            <w:vAlign w:val="center"/>
          </w:tcPr>
          <w:p w14:paraId="11EA3E39">
            <w:pPr>
              <w:adjustRightInd w:val="0"/>
              <w:snapToGrid w:val="0"/>
              <w:spacing w:line="400" w:lineRule="exact"/>
              <w:rPr>
                <w:rFonts w:ascii="宋体"/>
              </w:rPr>
            </w:pPr>
            <w:r>
              <w:rPr>
                <w:rFonts w:hint="eastAsia" w:ascii="宋体" w:hAnsi="宋体" w:cs="宋体"/>
              </w:rPr>
              <w:t>不允许</w:t>
            </w:r>
          </w:p>
        </w:tc>
      </w:tr>
      <w:tr w14:paraId="6C97E1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871" w:type="dxa"/>
            <w:vAlign w:val="center"/>
          </w:tcPr>
          <w:p w14:paraId="555A9BBE">
            <w:pPr>
              <w:adjustRightInd w:val="0"/>
              <w:snapToGrid w:val="0"/>
              <w:spacing w:line="400" w:lineRule="exact"/>
              <w:jc w:val="center"/>
              <w:rPr>
                <w:rFonts w:ascii="宋体"/>
              </w:rPr>
            </w:pPr>
            <w:r>
              <w:rPr>
                <w:rFonts w:ascii="宋体" w:hAnsi="宋体" w:cs="宋体"/>
              </w:rPr>
              <w:t>2.1.1</w:t>
            </w:r>
            <w:r>
              <w:rPr>
                <w:rFonts w:hint="eastAsia" w:ascii="宋体" w:hAnsi="宋体" w:cs="宋体"/>
              </w:rPr>
              <w:t>（</w:t>
            </w:r>
            <w:r>
              <w:rPr>
                <w:rFonts w:ascii="宋体" w:hAnsi="宋体" w:cs="宋体"/>
              </w:rPr>
              <w:t>9</w:t>
            </w:r>
            <w:r>
              <w:rPr>
                <w:rFonts w:hint="eastAsia" w:ascii="宋体" w:hAnsi="宋体" w:cs="宋体"/>
              </w:rPr>
              <w:t>）</w:t>
            </w:r>
          </w:p>
        </w:tc>
        <w:tc>
          <w:tcPr>
            <w:tcW w:w="2445" w:type="dxa"/>
            <w:vAlign w:val="center"/>
          </w:tcPr>
          <w:p w14:paraId="1642A99F">
            <w:pPr>
              <w:adjustRightInd w:val="0"/>
              <w:snapToGrid w:val="0"/>
              <w:spacing w:line="400" w:lineRule="exact"/>
              <w:rPr>
                <w:rFonts w:ascii="宋体"/>
                <w:highlight w:val="none"/>
              </w:rPr>
            </w:pPr>
            <w:r>
              <w:rPr>
                <w:rFonts w:hint="eastAsia" w:ascii="宋体" w:hAnsi="宋体" w:cs="宋体"/>
                <w:highlight w:val="none"/>
              </w:rPr>
              <w:t>构成招标文件的其他材料</w:t>
            </w:r>
          </w:p>
        </w:tc>
        <w:tc>
          <w:tcPr>
            <w:tcW w:w="6104" w:type="dxa"/>
            <w:vAlign w:val="center"/>
          </w:tcPr>
          <w:p w14:paraId="349002AF">
            <w:pPr>
              <w:spacing w:line="400" w:lineRule="exact"/>
              <w:rPr>
                <w:rFonts w:ascii="宋体"/>
                <w:highlight w:val="none"/>
              </w:rPr>
            </w:pPr>
            <w:r>
              <w:rPr>
                <w:rFonts w:ascii="宋体" w:hAnsi="宋体" w:cs="宋体"/>
                <w:highlight w:val="none"/>
              </w:rPr>
              <w:t>/</w:t>
            </w:r>
          </w:p>
        </w:tc>
      </w:tr>
      <w:tr w14:paraId="2B3AFD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71" w:type="dxa"/>
            <w:vAlign w:val="center"/>
          </w:tcPr>
          <w:p w14:paraId="1FEB2735">
            <w:pPr>
              <w:adjustRightInd w:val="0"/>
              <w:snapToGrid w:val="0"/>
              <w:spacing w:line="400" w:lineRule="exact"/>
              <w:jc w:val="center"/>
              <w:rPr>
                <w:rFonts w:ascii="宋体"/>
              </w:rPr>
            </w:pPr>
            <w:r>
              <w:rPr>
                <w:rFonts w:ascii="宋体" w:hAnsi="宋体" w:cs="宋体"/>
              </w:rPr>
              <w:t>2.2.1</w:t>
            </w:r>
          </w:p>
        </w:tc>
        <w:tc>
          <w:tcPr>
            <w:tcW w:w="2445" w:type="dxa"/>
            <w:vAlign w:val="center"/>
          </w:tcPr>
          <w:p w14:paraId="46C39868">
            <w:pPr>
              <w:adjustRightInd w:val="0"/>
              <w:snapToGrid w:val="0"/>
              <w:spacing w:line="400" w:lineRule="exact"/>
              <w:rPr>
                <w:rFonts w:ascii="宋体"/>
                <w:highlight w:val="none"/>
              </w:rPr>
            </w:pPr>
            <w:r>
              <w:rPr>
                <w:rFonts w:hint="eastAsia" w:ascii="宋体" w:hAnsi="宋体" w:cs="宋体"/>
                <w:highlight w:val="none"/>
              </w:rPr>
              <w:t>投标人要求澄清招标文件的截止时间</w:t>
            </w:r>
          </w:p>
        </w:tc>
        <w:tc>
          <w:tcPr>
            <w:tcW w:w="6104" w:type="dxa"/>
            <w:vAlign w:val="center"/>
          </w:tcPr>
          <w:p w14:paraId="2D5B5572">
            <w:pPr>
              <w:adjustRightInd w:val="0"/>
              <w:snapToGrid w:val="0"/>
              <w:spacing w:line="400" w:lineRule="exact"/>
              <w:rPr>
                <w:rFonts w:ascii="宋体"/>
                <w:highlight w:val="none"/>
              </w:rPr>
            </w:pPr>
            <w:r>
              <w:rPr>
                <w:rFonts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3</w:t>
            </w:r>
            <w:r>
              <w:rPr>
                <w:rFonts w:hint="eastAsia" w:ascii="宋体" w:hAnsi="宋体" w:cs="宋体"/>
                <w:highlight w:val="none"/>
              </w:rPr>
              <w:t>月</w:t>
            </w:r>
            <w:r>
              <w:rPr>
                <w:rFonts w:hint="eastAsia" w:ascii="宋体" w:hAnsi="宋体" w:cs="宋体"/>
                <w:highlight w:val="none"/>
                <w:u w:val="single"/>
                <w:lang w:val="en-US" w:eastAsia="zh-CN"/>
              </w:rPr>
              <w:t>3</w:t>
            </w:r>
            <w:r>
              <w:rPr>
                <w:rFonts w:hint="eastAsia" w:ascii="宋体" w:hAnsi="宋体" w:cs="宋体"/>
                <w:highlight w:val="none"/>
              </w:rPr>
              <w:t>日</w:t>
            </w:r>
            <w:r>
              <w:rPr>
                <w:rFonts w:ascii="宋体" w:hAnsi="宋体" w:cs="宋体"/>
                <w:highlight w:val="none"/>
                <w:u w:val="single"/>
              </w:rPr>
              <w:t>17</w:t>
            </w:r>
            <w:r>
              <w:rPr>
                <w:rFonts w:hint="eastAsia" w:ascii="宋体" w:hAnsi="宋体" w:cs="宋体"/>
                <w:highlight w:val="none"/>
              </w:rPr>
              <w:t>时</w:t>
            </w:r>
            <w:r>
              <w:rPr>
                <w:rFonts w:ascii="宋体" w:cs="宋体"/>
                <w:highlight w:val="none"/>
                <w:u w:val="single"/>
              </w:rPr>
              <w:t>00</w:t>
            </w:r>
            <w:r>
              <w:rPr>
                <w:rFonts w:hint="eastAsia" w:ascii="宋体" w:hAnsi="宋体" w:cs="宋体"/>
                <w:highlight w:val="none"/>
              </w:rPr>
              <w:t>分</w:t>
            </w:r>
          </w:p>
        </w:tc>
      </w:tr>
      <w:tr w14:paraId="55B741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71" w:type="dxa"/>
            <w:vAlign w:val="center"/>
          </w:tcPr>
          <w:p w14:paraId="26C17BB4">
            <w:pPr>
              <w:adjustRightInd w:val="0"/>
              <w:snapToGrid w:val="0"/>
              <w:spacing w:line="400" w:lineRule="exact"/>
              <w:jc w:val="center"/>
              <w:rPr>
                <w:rFonts w:ascii="宋体"/>
              </w:rPr>
            </w:pPr>
            <w:r>
              <w:rPr>
                <w:rFonts w:ascii="宋体" w:hAnsi="宋体" w:cs="宋体"/>
              </w:rPr>
              <w:t>2.2.2</w:t>
            </w:r>
          </w:p>
        </w:tc>
        <w:tc>
          <w:tcPr>
            <w:tcW w:w="2445" w:type="dxa"/>
            <w:vAlign w:val="center"/>
          </w:tcPr>
          <w:p w14:paraId="71963EE5">
            <w:pPr>
              <w:adjustRightInd w:val="0"/>
              <w:snapToGrid w:val="0"/>
              <w:spacing w:line="400" w:lineRule="exact"/>
              <w:rPr>
                <w:rFonts w:ascii="宋体"/>
                <w:highlight w:val="none"/>
              </w:rPr>
            </w:pPr>
            <w:r>
              <w:rPr>
                <w:rFonts w:hint="eastAsia" w:ascii="宋体" w:hAnsi="宋体" w:cs="宋体"/>
                <w:highlight w:val="none"/>
              </w:rPr>
              <w:t>招标文件澄清发布时间</w:t>
            </w:r>
          </w:p>
        </w:tc>
        <w:tc>
          <w:tcPr>
            <w:tcW w:w="6104" w:type="dxa"/>
            <w:vAlign w:val="center"/>
          </w:tcPr>
          <w:p w14:paraId="5617833E">
            <w:pPr>
              <w:adjustRightInd w:val="0"/>
              <w:snapToGrid w:val="0"/>
              <w:spacing w:line="400" w:lineRule="exact"/>
              <w:rPr>
                <w:rFonts w:ascii="宋体"/>
                <w:highlight w:val="none"/>
              </w:rPr>
            </w:pPr>
            <w:r>
              <w:rPr>
                <w:rFonts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3</w:t>
            </w:r>
            <w:r>
              <w:rPr>
                <w:rFonts w:hint="eastAsia" w:ascii="宋体" w:hAnsi="宋体" w:cs="宋体"/>
                <w:highlight w:val="none"/>
              </w:rPr>
              <w:t>月</w:t>
            </w:r>
            <w:r>
              <w:rPr>
                <w:rFonts w:hint="eastAsia" w:ascii="宋体" w:hAnsi="宋体" w:cs="宋体"/>
                <w:highlight w:val="none"/>
                <w:u w:val="single"/>
                <w:lang w:val="en-US" w:eastAsia="zh-CN"/>
              </w:rPr>
              <w:t>4</w:t>
            </w:r>
            <w:r>
              <w:rPr>
                <w:rFonts w:hint="eastAsia" w:ascii="宋体" w:hAnsi="宋体" w:cs="宋体"/>
                <w:highlight w:val="none"/>
              </w:rPr>
              <w:t>日</w:t>
            </w:r>
            <w:r>
              <w:rPr>
                <w:rFonts w:ascii="宋体" w:hAnsi="宋体" w:cs="宋体"/>
                <w:highlight w:val="none"/>
                <w:u w:val="single"/>
              </w:rPr>
              <w:t>24</w:t>
            </w:r>
            <w:r>
              <w:rPr>
                <w:rFonts w:hint="eastAsia" w:ascii="宋体" w:hAnsi="宋体" w:cs="宋体"/>
                <w:highlight w:val="none"/>
              </w:rPr>
              <w:t>时</w:t>
            </w:r>
            <w:r>
              <w:rPr>
                <w:rFonts w:ascii="宋体" w:cs="宋体"/>
                <w:highlight w:val="none"/>
                <w:u w:val="single"/>
              </w:rPr>
              <w:t>00</w:t>
            </w:r>
            <w:r>
              <w:rPr>
                <w:rFonts w:hint="eastAsia" w:ascii="宋体" w:hAnsi="宋体" w:cs="宋体"/>
                <w:highlight w:val="none"/>
              </w:rPr>
              <w:t>分</w:t>
            </w:r>
          </w:p>
        </w:tc>
      </w:tr>
      <w:tr w14:paraId="70998D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71" w:type="dxa"/>
            <w:vAlign w:val="center"/>
          </w:tcPr>
          <w:p w14:paraId="5C1F90D6">
            <w:pPr>
              <w:adjustRightInd w:val="0"/>
              <w:snapToGrid w:val="0"/>
              <w:spacing w:line="400" w:lineRule="exact"/>
              <w:jc w:val="center"/>
              <w:rPr>
                <w:rFonts w:ascii="宋体"/>
              </w:rPr>
            </w:pPr>
            <w:r>
              <w:rPr>
                <w:rFonts w:ascii="宋体" w:hAnsi="宋体" w:cs="宋体"/>
              </w:rPr>
              <w:t>2.4</w:t>
            </w:r>
          </w:p>
        </w:tc>
        <w:tc>
          <w:tcPr>
            <w:tcW w:w="2445" w:type="dxa"/>
            <w:vAlign w:val="center"/>
          </w:tcPr>
          <w:p w14:paraId="0F697738">
            <w:pPr>
              <w:adjustRightInd w:val="0"/>
              <w:snapToGrid w:val="0"/>
              <w:spacing w:line="400" w:lineRule="exact"/>
              <w:rPr>
                <w:rFonts w:ascii="宋体"/>
                <w:b/>
                <w:bCs/>
                <w:highlight w:val="none"/>
              </w:rPr>
            </w:pPr>
            <w:r>
              <w:rPr>
                <w:rFonts w:hint="eastAsia" w:ascii="宋体" w:hAnsi="宋体" w:cs="宋体"/>
                <w:b/>
                <w:bCs/>
                <w:highlight w:val="none"/>
              </w:rPr>
              <w:t>招标控制价</w:t>
            </w:r>
          </w:p>
        </w:tc>
        <w:tc>
          <w:tcPr>
            <w:tcW w:w="6104" w:type="dxa"/>
            <w:vAlign w:val="center"/>
          </w:tcPr>
          <w:p w14:paraId="66022647">
            <w:pPr>
              <w:adjustRightInd w:val="0"/>
              <w:snapToGrid w:val="0"/>
              <w:spacing w:line="400" w:lineRule="exact"/>
              <w:rPr>
                <w:rFonts w:ascii="宋体" w:hAnsi="宋体" w:cs="宋体"/>
                <w:b/>
                <w:bCs/>
                <w:highlight w:val="none"/>
              </w:rPr>
            </w:pPr>
            <w:r>
              <w:rPr>
                <w:rFonts w:hint="eastAsia" w:ascii="宋体" w:hAnsi="宋体" w:cs="宋体"/>
                <w:b/>
                <w:bCs/>
                <w:highlight w:val="none"/>
              </w:rPr>
              <w:t>人民币</w:t>
            </w:r>
            <w:r>
              <w:rPr>
                <w:rFonts w:hint="eastAsia" w:ascii="宋体" w:hAnsi="宋体" w:cs="宋体"/>
                <w:b/>
                <w:bCs/>
                <w:highlight w:val="none"/>
                <w:u w:val="single"/>
              </w:rPr>
              <w:t xml:space="preserve"> </w:t>
            </w:r>
            <w:r>
              <w:rPr>
                <w:rFonts w:hint="eastAsia" w:ascii="宋体" w:hAnsi="宋体" w:cs="宋体"/>
                <w:b/>
                <w:bCs/>
                <w:highlight w:val="none"/>
                <w:u w:val="single"/>
                <w:lang w:val="en-US" w:eastAsia="zh-CN"/>
              </w:rPr>
              <w:t xml:space="preserve">382 </w:t>
            </w:r>
            <w:r>
              <w:rPr>
                <w:rFonts w:hint="eastAsia" w:ascii="宋体" w:hAnsi="宋体" w:cs="宋体"/>
                <w:b/>
                <w:bCs/>
                <w:highlight w:val="none"/>
              </w:rPr>
              <w:t>万元</w:t>
            </w:r>
          </w:p>
        </w:tc>
      </w:tr>
      <w:tr w14:paraId="69A0BA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71" w:type="dxa"/>
            <w:vAlign w:val="center"/>
          </w:tcPr>
          <w:p w14:paraId="1FEC6653">
            <w:pPr>
              <w:adjustRightInd w:val="0"/>
              <w:snapToGrid w:val="0"/>
              <w:spacing w:line="400" w:lineRule="exact"/>
              <w:jc w:val="center"/>
              <w:rPr>
                <w:rFonts w:ascii="宋体"/>
              </w:rPr>
            </w:pPr>
            <w:r>
              <w:rPr>
                <w:rFonts w:ascii="宋体" w:hAnsi="宋体" w:cs="宋体"/>
              </w:rPr>
              <w:t>3.1.1</w:t>
            </w:r>
          </w:p>
        </w:tc>
        <w:tc>
          <w:tcPr>
            <w:tcW w:w="2445" w:type="dxa"/>
            <w:vAlign w:val="center"/>
          </w:tcPr>
          <w:p w14:paraId="1D032184">
            <w:pPr>
              <w:adjustRightInd w:val="0"/>
              <w:snapToGrid w:val="0"/>
              <w:spacing w:line="400" w:lineRule="exact"/>
              <w:rPr>
                <w:rFonts w:ascii="宋体"/>
              </w:rPr>
            </w:pPr>
            <w:r>
              <w:rPr>
                <w:rFonts w:hint="eastAsia" w:ascii="宋体" w:hAnsi="宋体" w:cs="宋体"/>
              </w:rPr>
              <w:t>构成投标文件的材料</w:t>
            </w:r>
          </w:p>
        </w:tc>
        <w:tc>
          <w:tcPr>
            <w:tcW w:w="6104" w:type="dxa"/>
            <w:vAlign w:val="center"/>
          </w:tcPr>
          <w:p w14:paraId="44CEF2D8">
            <w:pPr>
              <w:spacing w:line="400" w:lineRule="exact"/>
              <w:rPr>
                <w:rFonts w:ascii="宋体"/>
                <w:b/>
                <w:bCs/>
              </w:rPr>
            </w:pPr>
            <w:r>
              <w:rPr>
                <w:rFonts w:ascii="宋体" w:hAnsi="宋体" w:cs="宋体"/>
                <w:b/>
                <w:bCs/>
              </w:rPr>
              <w:t>1.</w:t>
            </w:r>
            <w:r>
              <w:rPr>
                <w:rFonts w:hint="eastAsia" w:ascii="宋体" w:hAnsi="宋体" w:cs="宋体"/>
                <w:b/>
                <w:bCs/>
              </w:rPr>
              <w:t>资格后审证明文件：</w:t>
            </w:r>
          </w:p>
          <w:p w14:paraId="75D5AEFE">
            <w:pPr>
              <w:spacing w:line="400" w:lineRule="exact"/>
              <w:rPr>
                <w:rFonts w:ascii="宋体"/>
              </w:rPr>
            </w:pPr>
            <w:r>
              <w:rPr>
                <w:rFonts w:ascii="宋体" w:hAnsi="宋体" w:cs="宋体"/>
              </w:rPr>
              <w:t>1.1</w:t>
            </w:r>
            <w:r>
              <w:rPr>
                <w:rFonts w:hint="eastAsia" w:ascii="宋体" w:hAnsi="宋体" w:cs="宋体"/>
              </w:rPr>
              <w:t>法人身份证明书、法人授权委托书；</w:t>
            </w:r>
          </w:p>
          <w:p w14:paraId="7F84E829">
            <w:pPr>
              <w:spacing w:line="400" w:lineRule="exact"/>
              <w:rPr>
                <w:rFonts w:ascii="宋体"/>
              </w:rPr>
            </w:pPr>
            <w:r>
              <w:rPr>
                <w:rFonts w:ascii="宋体" w:hAnsi="宋体" w:cs="宋体"/>
              </w:rPr>
              <w:t>1.2</w:t>
            </w:r>
            <w:r>
              <w:rPr>
                <w:rFonts w:hint="eastAsia" w:ascii="宋体" w:hAnsi="宋体" w:cs="宋体"/>
              </w:rPr>
              <w:t>企业法人营业执照；</w:t>
            </w:r>
          </w:p>
          <w:p w14:paraId="11566C91">
            <w:pPr>
              <w:spacing w:line="400" w:lineRule="exact"/>
              <w:rPr>
                <w:rFonts w:ascii="宋体"/>
              </w:rPr>
            </w:pPr>
            <w:r>
              <w:rPr>
                <w:rFonts w:ascii="宋体" w:hAnsi="宋体" w:cs="宋体"/>
              </w:rPr>
              <w:t>1.3</w:t>
            </w:r>
            <w:r>
              <w:rPr>
                <w:rFonts w:hint="eastAsia" w:ascii="宋体" w:hAnsi="宋体" w:cs="宋体"/>
              </w:rPr>
              <w:t>企业安全生产许可证；</w:t>
            </w:r>
          </w:p>
          <w:p w14:paraId="1101EBA5">
            <w:pPr>
              <w:spacing w:line="400" w:lineRule="exact"/>
              <w:rPr>
                <w:rFonts w:ascii="宋体" w:hAnsi="宋体" w:cs="宋体"/>
              </w:rPr>
            </w:pPr>
            <w:r>
              <w:rPr>
                <w:rFonts w:ascii="宋体" w:hAnsi="宋体" w:cs="宋体"/>
              </w:rPr>
              <w:t>1.4</w:t>
            </w:r>
            <w:r>
              <w:rPr>
                <w:rFonts w:hint="eastAsia" w:ascii="宋体" w:hAnsi="宋体" w:cs="宋体"/>
              </w:rPr>
              <w:t>拟派项目负责人市政公用工程贰级及以上注册建造师证书及安全考核合格</w:t>
            </w:r>
            <w:r>
              <w:rPr>
                <w:rFonts w:ascii="宋体" w:hAnsi="宋体" w:cs="宋体"/>
              </w:rPr>
              <w:t>B</w:t>
            </w:r>
            <w:r>
              <w:rPr>
                <w:rFonts w:hint="eastAsia" w:ascii="宋体" w:hAnsi="宋体" w:cs="宋体"/>
              </w:rPr>
              <w:t>证；</w:t>
            </w:r>
          </w:p>
          <w:p w14:paraId="1BE78178">
            <w:pPr>
              <w:spacing w:line="400" w:lineRule="exact"/>
              <w:rPr>
                <w:rFonts w:ascii="宋体" w:hAnsi="宋体" w:cs="宋体"/>
              </w:rPr>
            </w:pPr>
            <w:r>
              <w:rPr>
                <w:rFonts w:ascii="宋体" w:hAnsi="宋体" w:cs="宋体"/>
              </w:rPr>
              <w:t>1.</w:t>
            </w:r>
            <w:r>
              <w:rPr>
                <w:rFonts w:hint="eastAsia" w:ascii="宋体" w:hAnsi="宋体" w:cs="宋体"/>
              </w:rPr>
              <w:t>5拟派授权委托人及项目负责人的有效劳动合同及企业为拟派授权委托人及项目负责人缴纳</w:t>
            </w:r>
            <w:r>
              <w:rPr>
                <w:rFonts w:hint="eastAsia" w:ascii="宋体" w:hAnsi="宋体" w:cs="宋体"/>
                <w:highlight w:val="none"/>
              </w:rPr>
              <w:t>的</w:t>
            </w:r>
            <w:r>
              <w:rPr>
                <w:rFonts w:ascii="宋体" w:hAnsi="宋体" w:cs="宋体"/>
                <w:highlight w:val="none"/>
                <w:u w:val="single"/>
              </w:rPr>
              <w:t>20</w:t>
            </w:r>
            <w:r>
              <w:rPr>
                <w:rFonts w:hint="eastAsia" w:ascii="宋体" w:hAnsi="宋体" w:cs="宋体"/>
                <w:highlight w:val="none"/>
                <w:u w:val="single"/>
              </w:rPr>
              <w:t>2</w:t>
            </w:r>
            <w:r>
              <w:rPr>
                <w:rFonts w:hint="eastAsia" w:ascii="宋体" w:hAnsi="宋体" w:cs="宋体"/>
                <w:highlight w:val="none"/>
                <w:u w:val="single"/>
                <w:lang w:val="en-US" w:eastAsia="zh-CN"/>
              </w:rPr>
              <w:t>4</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月至</w:t>
            </w:r>
            <w:r>
              <w:rPr>
                <w:rFonts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1</w:t>
            </w:r>
            <w:r>
              <w:rPr>
                <w:rFonts w:hint="eastAsia" w:ascii="宋体" w:hAnsi="宋体" w:cs="宋体"/>
                <w:highlight w:val="none"/>
              </w:rPr>
              <w:t>月</w:t>
            </w:r>
            <w:r>
              <w:rPr>
                <w:rFonts w:hint="eastAsia" w:ascii="宋体" w:hAnsi="宋体" w:cs="宋体"/>
              </w:rPr>
              <w:t>的养老保险缴费证明（养老保险缴费证明上人员较多时，请在相应人员名单上予以标注）；</w:t>
            </w:r>
          </w:p>
          <w:p w14:paraId="46D53834">
            <w:pPr>
              <w:spacing w:line="400" w:lineRule="exact"/>
              <w:rPr>
                <w:rFonts w:ascii="宋体" w:hAnsi="宋体" w:cs="宋体"/>
              </w:rPr>
            </w:pPr>
            <w:r>
              <w:rPr>
                <w:rFonts w:ascii="宋体" w:hAnsi="宋体" w:cs="宋体"/>
              </w:rPr>
              <w:t>1.</w:t>
            </w:r>
            <w:r>
              <w:rPr>
                <w:rFonts w:hint="eastAsia" w:ascii="宋体" w:hAnsi="宋体" w:cs="宋体"/>
              </w:rPr>
              <w:t>6拟派项目负责人业绩证明；</w:t>
            </w:r>
          </w:p>
          <w:p w14:paraId="4DF5F118">
            <w:pPr>
              <w:spacing w:line="400" w:lineRule="exact"/>
              <w:rPr>
                <w:rFonts w:ascii="宋体"/>
              </w:rPr>
            </w:pPr>
            <w:r>
              <w:rPr>
                <w:rFonts w:ascii="宋体" w:hAnsi="宋体" w:cs="宋体"/>
              </w:rPr>
              <w:t>1.</w:t>
            </w:r>
            <w:r>
              <w:rPr>
                <w:rFonts w:hint="eastAsia" w:ascii="宋体" w:hAnsi="宋体" w:cs="宋体"/>
              </w:rPr>
              <w:t>7拟派项目负责人无在建工程（格式按招标文件附件</w:t>
            </w:r>
            <w:r>
              <w:rPr>
                <w:rFonts w:ascii="宋体" w:hAnsi="宋体" w:cs="宋体"/>
              </w:rPr>
              <w:t>1</w:t>
            </w:r>
            <w:r>
              <w:rPr>
                <w:rFonts w:hint="eastAsia" w:ascii="宋体" w:hAnsi="宋体" w:cs="宋体"/>
              </w:rPr>
              <w:t>）；</w:t>
            </w:r>
          </w:p>
          <w:p w14:paraId="00FDEB02">
            <w:pPr>
              <w:spacing w:line="400" w:lineRule="exact"/>
              <w:rPr>
                <w:rFonts w:ascii="宋体"/>
              </w:rPr>
            </w:pPr>
            <w:r>
              <w:rPr>
                <w:rFonts w:ascii="宋体" w:hAnsi="宋体" w:cs="宋体"/>
              </w:rPr>
              <w:t>1.</w:t>
            </w:r>
            <w:r>
              <w:rPr>
                <w:rFonts w:hint="eastAsia" w:ascii="宋体" w:hAnsi="宋体" w:cs="宋体"/>
              </w:rPr>
              <w:t>8诚信承诺书（格式按招标文件附件</w:t>
            </w:r>
            <w:r>
              <w:rPr>
                <w:rFonts w:ascii="宋体" w:hAnsi="宋体" w:cs="宋体"/>
              </w:rPr>
              <w:t>2</w:t>
            </w:r>
            <w:r>
              <w:rPr>
                <w:rFonts w:hint="eastAsia" w:ascii="宋体" w:hAnsi="宋体" w:cs="宋体"/>
              </w:rPr>
              <w:t>）。</w:t>
            </w:r>
          </w:p>
          <w:p w14:paraId="5E8DFBF8">
            <w:pPr>
              <w:spacing w:line="400" w:lineRule="exact"/>
              <w:rPr>
                <w:rFonts w:ascii="宋体" w:hAnsi="宋体" w:cs="MS Mincho"/>
                <w:bCs/>
              </w:rPr>
            </w:pPr>
            <w:r>
              <w:rPr>
                <w:rFonts w:hint="eastAsia" w:ascii="宋体" w:hAnsi="宋体" w:cs="MS Mincho"/>
                <w:b/>
                <w:bCs/>
              </w:rPr>
              <w:t>2.</w:t>
            </w:r>
            <w:r>
              <w:rPr>
                <w:rFonts w:hint="eastAsia" w:ascii="宋体" w:hAnsi="宋体" w:cs="宋体"/>
                <w:b/>
                <w:bCs/>
              </w:rPr>
              <w:t>商务标文件：</w:t>
            </w:r>
          </w:p>
          <w:p w14:paraId="0C6D7FAF">
            <w:pPr>
              <w:spacing w:line="400" w:lineRule="exact"/>
              <w:rPr>
                <w:rFonts w:ascii="宋体"/>
              </w:rPr>
            </w:pPr>
            <w:r>
              <w:rPr>
                <w:rFonts w:hint="eastAsia" w:ascii="宋体" w:hAnsi="宋体" w:cs="宋体"/>
              </w:rPr>
              <w:t>2</w:t>
            </w:r>
            <w:r>
              <w:rPr>
                <w:rFonts w:ascii="宋体" w:hAnsi="宋体" w:cs="宋体"/>
              </w:rPr>
              <w:t>.1</w:t>
            </w:r>
            <w:r>
              <w:rPr>
                <w:rFonts w:hint="eastAsia" w:ascii="宋体" w:hAnsi="宋体" w:cs="宋体"/>
              </w:rPr>
              <w:t>投标函；</w:t>
            </w:r>
          </w:p>
          <w:p w14:paraId="63734F91">
            <w:pPr>
              <w:spacing w:line="400" w:lineRule="exact"/>
              <w:rPr>
                <w:rFonts w:ascii="宋体"/>
              </w:rPr>
            </w:pPr>
            <w:r>
              <w:rPr>
                <w:rFonts w:hint="eastAsia" w:ascii="宋体" w:hAnsi="宋体" w:cs="宋体"/>
              </w:rPr>
              <w:t>2</w:t>
            </w:r>
            <w:r>
              <w:rPr>
                <w:rFonts w:ascii="宋体" w:hAnsi="宋体" w:cs="宋体"/>
              </w:rPr>
              <w:t>.2</w:t>
            </w:r>
            <w:r>
              <w:rPr>
                <w:rFonts w:hint="eastAsia" w:ascii="宋体" w:hAnsi="宋体" w:cs="宋体"/>
              </w:rPr>
              <w:t>已标价的报价文件；</w:t>
            </w:r>
          </w:p>
          <w:p w14:paraId="754BA62B">
            <w:pPr>
              <w:spacing w:line="400" w:lineRule="exact"/>
              <w:rPr>
                <w:rFonts w:ascii="宋体"/>
              </w:rPr>
            </w:pPr>
            <w:r>
              <w:rPr>
                <w:rFonts w:hint="eastAsia" w:ascii="宋体" w:hAnsi="宋体" w:cs="宋体"/>
              </w:rPr>
              <w:t>2</w:t>
            </w:r>
            <w:r>
              <w:rPr>
                <w:rFonts w:ascii="宋体" w:hAnsi="宋体" w:cs="宋体"/>
              </w:rPr>
              <w:t>.3</w:t>
            </w:r>
            <w:r>
              <w:rPr>
                <w:rFonts w:hint="eastAsia" w:ascii="宋体" w:hAnsi="宋体" w:cs="宋体"/>
              </w:rPr>
              <w:t>计划投入的主要施工机械设备表、主要施工人员表。</w:t>
            </w:r>
          </w:p>
        </w:tc>
      </w:tr>
      <w:tr w14:paraId="61005F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71" w:type="dxa"/>
            <w:vAlign w:val="center"/>
          </w:tcPr>
          <w:p w14:paraId="34DCFFC9">
            <w:pPr>
              <w:adjustRightInd w:val="0"/>
              <w:snapToGrid w:val="0"/>
              <w:spacing w:line="400" w:lineRule="exact"/>
              <w:jc w:val="center"/>
              <w:rPr>
                <w:rFonts w:ascii="宋体"/>
              </w:rPr>
            </w:pPr>
            <w:r>
              <w:rPr>
                <w:rFonts w:ascii="宋体" w:hAnsi="宋体" w:cs="宋体"/>
              </w:rPr>
              <w:t>3.3.1</w:t>
            </w:r>
          </w:p>
        </w:tc>
        <w:tc>
          <w:tcPr>
            <w:tcW w:w="2445" w:type="dxa"/>
            <w:vAlign w:val="center"/>
          </w:tcPr>
          <w:p w14:paraId="3DB9FE07">
            <w:pPr>
              <w:adjustRightInd w:val="0"/>
              <w:snapToGrid w:val="0"/>
              <w:spacing w:line="400" w:lineRule="exact"/>
              <w:rPr>
                <w:rFonts w:ascii="宋体"/>
              </w:rPr>
            </w:pPr>
            <w:r>
              <w:rPr>
                <w:rFonts w:hint="eastAsia" w:ascii="宋体" w:hAnsi="宋体" w:cs="宋体"/>
              </w:rPr>
              <w:t>投标有效期</w:t>
            </w:r>
          </w:p>
        </w:tc>
        <w:tc>
          <w:tcPr>
            <w:tcW w:w="6104" w:type="dxa"/>
            <w:vAlign w:val="center"/>
          </w:tcPr>
          <w:p w14:paraId="234B948E">
            <w:pPr>
              <w:adjustRightInd w:val="0"/>
              <w:snapToGrid w:val="0"/>
              <w:spacing w:line="400" w:lineRule="exact"/>
              <w:rPr>
                <w:rFonts w:ascii="宋体"/>
              </w:rPr>
            </w:pPr>
            <w:r>
              <w:rPr>
                <w:rFonts w:hint="eastAsia" w:ascii="宋体" w:hAnsi="宋体" w:cs="宋体"/>
              </w:rPr>
              <w:t>投标截止日后</w:t>
            </w:r>
            <w:r>
              <w:rPr>
                <w:rFonts w:ascii="宋体" w:hAnsi="宋体" w:cs="宋体"/>
                <w:u w:val="single"/>
              </w:rPr>
              <w:t>45</w:t>
            </w:r>
            <w:r>
              <w:rPr>
                <w:rFonts w:hint="eastAsia" w:ascii="宋体" w:hAnsi="宋体" w:cs="宋体"/>
              </w:rPr>
              <w:t>日历天</w:t>
            </w:r>
          </w:p>
        </w:tc>
      </w:tr>
      <w:tr w14:paraId="28CF9A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71" w:type="dxa"/>
            <w:vAlign w:val="center"/>
          </w:tcPr>
          <w:p w14:paraId="6EEE24F6">
            <w:pPr>
              <w:adjustRightInd w:val="0"/>
              <w:snapToGrid w:val="0"/>
              <w:spacing w:line="400" w:lineRule="exact"/>
              <w:jc w:val="center"/>
              <w:rPr>
                <w:rFonts w:ascii="宋体"/>
              </w:rPr>
            </w:pPr>
            <w:r>
              <w:rPr>
                <w:rFonts w:ascii="宋体" w:hAnsi="宋体" w:cs="宋体"/>
              </w:rPr>
              <w:t>3.2.3</w:t>
            </w:r>
          </w:p>
        </w:tc>
        <w:tc>
          <w:tcPr>
            <w:tcW w:w="2445" w:type="dxa"/>
            <w:vAlign w:val="center"/>
          </w:tcPr>
          <w:p w14:paraId="3545B855">
            <w:pPr>
              <w:adjustRightInd w:val="0"/>
              <w:snapToGrid w:val="0"/>
              <w:spacing w:line="400" w:lineRule="exact"/>
              <w:rPr>
                <w:rFonts w:ascii="宋体"/>
              </w:rPr>
            </w:pPr>
            <w:r>
              <w:rPr>
                <w:rFonts w:hint="eastAsia" w:ascii="宋体" w:hAnsi="宋体" w:cs="宋体"/>
              </w:rPr>
              <w:t>合同价格形式</w:t>
            </w:r>
          </w:p>
        </w:tc>
        <w:tc>
          <w:tcPr>
            <w:tcW w:w="6104" w:type="dxa"/>
            <w:vAlign w:val="center"/>
          </w:tcPr>
          <w:p w14:paraId="711E2D80">
            <w:pPr>
              <w:adjustRightInd w:val="0"/>
              <w:snapToGrid w:val="0"/>
              <w:spacing w:line="400" w:lineRule="exact"/>
              <w:rPr>
                <w:rFonts w:ascii="宋体"/>
                <w:highlight w:val="none"/>
              </w:rPr>
            </w:pPr>
            <w:r>
              <w:rPr>
                <w:rFonts w:hint="eastAsia" w:ascii="宋体" w:hAnsi="宋体" w:cs="宋体"/>
                <w:highlight w:val="none"/>
              </w:rPr>
              <w:t>□单价合同</w:t>
            </w:r>
          </w:p>
          <w:p w14:paraId="25D4A146">
            <w:pPr>
              <w:adjustRightInd w:val="0"/>
              <w:snapToGrid w:val="0"/>
              <w:spacing w:line="400" w:lineRule="exact"/>
              <w:rPr>
                <w:rFonts w:ascii="宋体" w:hAnsi="宋体" w:cs="宋体"/>
                <w:highlight w:val="none"/>
              </w:rPr>
            </w:pPr>
            <w:r>
              <w:rPr>
                <w:rFonts w:hint="eastAsia" w:ascii="宋体" w:hAnsi="宋体" w:cs="宋体"/>
                <w:highlight w:val="none"/>
              </w:rPr>
              <w:sym w:font="Wingdings 2" w:char="0052"/>
            </w:r>
            <w:r>
              <w:rPr>
                <w:rFonts w:hint="eastAsia" w:ascii="宋体" w:hAnsi="宋体" w:cs="宋体"/>
                <w:highlight w:val="none"/>
              </w:rPr>
              <w:t>总价合同</w:t>
            </w:r>
          </w:p>
          <w:p w14:paraId="0C1241B7">
            <w:pPr>
              <w:adjustRightInd w:val="0"/>
              <w:snapToGrid w:val="0"/>
              <w:spacing w:line="400" w:lineRule="exact"/>
              <w:rPr>
                <w:rFonts w:ascii="宋体"/>
                <w:highlight w:val="none"/>
              </w:rPr>
            </w:pPr>
            <w:r>
              <w:rPr>
                <w:rFonts w:hint="eastAsia" w:ascii="宋体" w:hAnsi="宋体" w:cs="宋体"/>
                <w:highlight w:val="none"/>
              </w:rPr>
              <w:t>甲供材料及配件范围：球墨铸铁管及配件、胶圈、螺旋钢管、阀门、密封垫、伸缩节、钢法兰、罗栓、阀门井盖等）</w:t>
            </w:r>
          </w:p>
        </w:tc>
      </w:tr>
      <w:tr w14:paraId="2CA370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71" w:type="dxa"/>
            <w:vAlign w:val="center"/>
          </w:tcPr>
          <w:p w14:paraId="0B9BA83D">
            <w:pPr>
              <w:adjustRightInd w:val="0"/>
              <w:snapToGrid w:val="0"/>
              <w:spacing w:line="400" w:lineRule="exact"/>
              <w:jc w:val="center"/>
              <w:rPr>
                <w:rFonts w:ascii="宋体"/>
              </w:rPr>
            </w:pPr>
            <w:r>
              <w:rPr>
                <w:rFonts w:ascii="宋体" w:hAnsi="宋体" w:cs="宋体"/>
              </w:rPr>
              <w:t>3.4.1</w:t>
            </w:r>
          </w:p>
        </w:tc>
        <w:tc>
          <w:tcPr>
            <w:tcW w:w="2445" w:type="dxa"/>
            <w:vAlign w:val="center"/>
          </w:tcPr>
          <w:p w14:paraId="7AF4ED9B">
            <w:pPr>
              <w:adjustRightInd w:val="0"/>
              <w:snapToGrid w:val="0"/>
              <w:spacing w:line="400" w:lineRule="exact"/>
              <w:rPr>
                <w:rFonts w:ascii="宋体"/>
              </w:rPr>
            </w:pPr>
            <w:r>
              <w:rPr>
                <w:rFonts w:hint="eastAsia" w:ascii="宋体" w:hAnsi="宋体" w:cs="宋体"/>
              </w:rPr>
              <w:t>投标保证金递交</w:t>
            </w:r>
          </w:p>
        </w:tc>
        <w:tc>
          <w:tcPr>
            <w:tcW w:w="6104" w:type="dxa"/>
            <w:vAlign w:val="center"/>
          </w:tcPr>
          <w:p w14:paraId="17828F6D">
            <w:pPr>
              <w:spacing w:line="400" w:lineRule="exact"/>
              <w:rPr>
                <w:rFonts w:ascii="宋体"/>
                <w:highlight w:val="none"/>
                <w:u w:val="single"/>
              </w:rPr>
            </w:pPr>
            <w:r>
              <w:rPr>
                <w:rFonts w:hint="eastAsia" w:ascii="宋体" w:hAnsi="宋体" w:cs="宋体"/>
                <w:highlight w:val="none"/>
              </w:rPr>
              <w:t>投标保证金为</w:t>
            </w:r>
            <w:r>
              <w:rPr>
                <w:rFonts w:hint="eastAsia" w:ascii="宋体" w:hAnsi="宋体" w:cs="宋体"/>
                <w:b/>
                <w:highlight w:val="none"/>
                <w:u w:val="single"/>
              </w:rPr>
              <w:t>贰</w:t>
            </w:r>
            <w:r>
              <w:rPr>
                <w:rFonts w:hint="eastAsia" w:ascii="宋体" w:hAnsi="宋体" w:cs="宋体"/>
                <w:b w:val="0"/>
                <w:bCs/>
                <w:highlight w:val="none"/>
              </w:rPr>
              <w:t>万元整/投标单位（现金方式递交）。</w:t>
            </w:r>
          </w:p>
        </w:tc>
      </w:tr>
      <w:tr w14:paraId="68D060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1" w:type="dxa"/>
            <w:vAlign w:val="center"/>
          </w:tcPr>
          <w:p w14:paraId="6B31433A">
            <w:pPr>
              <w:adjustRightInd w:val="0"/>
              <w:snapToGrid w:val="0"/>
              <w:spacing w:line="400" w:lineRule="exact"/>
              <w:jc w:val="center"/>
              <w:rPr>
                <w:rFonts w:ascii="宋体"/>
              </w:rPr>
            </w:pPr>
            <w:r>
              <w:rPr>
                <w:rFonts w:ascii="宋体" w:hAnsi="宋体" w:cs="宋体"/>
              </w:rPr>
              <w:t>3.4.3</w:t>
            </w:r>
          </w:p>
        </w:tc>
        <w:tc>
          <w:tcPr>
            <w:tcW w:w="2445" w:type="dxa"/>
            <w:vAlign w:val="center"/>
          </w:tcPr>
          <w:p w14:paraId="28B25E09">
            <w:pPr>
              <w:adjustRightInd w:val="0"/>
              <w:snapToGrid w:val="0"/>
              <w:spacing w:line="400" w:lineRule="exact"/>
              <w:rPr>
                <w:rFonts w:ascii="宋体"/>
              </w:rPr>
            </w:pPr>
            <w:r>
              <w:rPr>
                <w:rFonts w:hint="eastAsia" w:ascii="宋体" w:hAnsi="宋体" w:cs="宋体"/>
              </w:rPr>
              <w:t>投标保证金退还</w:t>
            </w:r>
          </w:p>
        </w:tc>
        <w:tc>
          <w:tcPr>
            <w:tcW w:w="6104" w:type="dxa"/>
            <w:vAlign w:val="center"/>
          </w:tcPr>
          <w:p w14:paraId="4906C599">
            <w:pPr>
              <w:spacing w:line="400" w:lineRule="exact"/>
              <w:rPr>
                <w:rFonts w:ascii="宋体" w:hAnsi="宋体" w:cs="宋体"/>
                <w:kern w:val="0"/>
              </w:rPr>
            </w:pPr>
            <w:r>
              <w:rPr>
                <w:rFonts w:hint="eastAsia" w:ascii="宋体" w:hAnsi="宋体" w:cs="宋体"/>
                <w:kern w:val="0"/>
              </w:rPr>
              <w:t>1.未中标的投标人的投标保证金将现场退还（无息）。</w:t>
            </w:r>
          </w:p>
          <w:p w14:paraId="57A9E399">
            <w:pPr>
              <w:autoSpaceDE w:val="0"/>
              <w:autoSpaceDN w:val="0"/>
              <w:adjustRightInd w:val="0"/>
              <w:spacing w:line="400" w:lineRule="exact"/>
              <w:jc w:val="left"/>
              <w:rPr>
                <w:rFonts w:ascii="宋体"/>
              </w:rPr>
            </w:pPr>
            <w:r>
              <w:rPr>
                <w:rFonts w:hint="eastAsia" w:ascii="宋体" w:hAnsi="宋体" w:cs="宋体"/>
                <w:kern w:val="0"/>
              </w:rPr>
              <w:t>2.中标人的投标保证金，在签署合同后无息退还。</w:t>
            </w:r>
          </w:p>
        </w:tc>
      </w:tr>
      <w:tr w14:paraId="09566D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71" w:type="dxa"/>
            <w:vAlign w:val="center"/>
          </w:tcPr>
          <w:p w14:paraId="69BD1B90">
            <w:pPr>
              <w:adjustRightInd w:val="0"/>
              <w:snapToGrid w:val="0"/>
              <w:spacing w:line="400" w:lineRule="exact"/>
              <w:jc w:val="center"/>
              <w:rPr>
                <w:rFonts w:ascii="宋体"/>
              </w:rPr>
            </w:pPr>
            <w:r>
              <w:rPr>
                <w:rFonts w:ascii="宋体" w:hAnsi="宋体" w:cs="宋体"/>
              </w:rPr>
              <w:t>3.5</w:t>
            </w:r>
          </w:p>
        </w:tc>
        <w:tc>
          <w:tcPr>
            <w:tcW w:w="2445" w:type="dxa"/>
            <w:vAlign w:val="center"/>
          </w:tcPr>
          <w:p w14:paraId="020B2F9B">
            <w:pPr>
              <w:adjustRightInd w:val="0"/>
              <w:snapToGrid w:val="0"/>
              <w:spacing w:line="400" w:lineRule="exact"/>
              <w:rPr>
                <w:rFonts w:ascii="宋体"/>
              </w:rPr>
            </w:pPr>
            <w:r>
              <w:rPr>
                <w:rFonts w:hint="eastAsia" w:ascii="宋体" w:hAnsi="宋体" w:cs="宋体"/>
              </w:rPr>
              <w:t>是否允许递交备选投标方案</w:t>
            </w:r>
          </w:p>
        </w:tc>
        <w:tc>
          <w:tcPr>
            <w:tcW w:w="6104" w:type="dxa"/>
            <w:vAlign w:val="center"/>
          </w:tcPr>
          <w:p w14:paraId="65DC1BA4">
            <w:pPr>
              <w:adjustRightInd w:val="0"/>
              <w:snapToGrid w:val="0"/>
              <w:spacing w:line="400" w:lineRule="exact"/>
              <w:rPr>
                <w:rFonts w:ascii="宋体"/>
                <w:u w:val="single"/>
              </w:rPr>
            </w:pPr>
            <w:r>
              <w:rPr>
                <w:rFonts w:hint="eastAsia" w:ascii="宋体" w:hAnsi="宋体" w:cs="宋体"/>
              </w:rPr>
              <w:t>不允许</w:t>
            </w:r>
          </w:p>
        </w:tc>
      </w:tr>
      <w:tr w14:paraId="1364CE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2E640386">
            <w:pPr>
              <w:adjustRightInd w:val="0"/>
              <w:snapToGrid w:val="0"/>
              <w:spacing w:line="400" w:lineRule="exact"/>
              <w:jc w:val="center"/>
              <w:rPr>
                <w:rFonts w:ascii="宋体"/>
              </w:rPr>
            </w:pPr>
            <w:r>
              <w:rPr>
                <w:rFonts w:ascii="宋体" w:hAnsi="宋体" w:cs="宋体"/>
              </w:rPr>
              <w:t>3.6.5</w:t>
            </w:r>
          </w:p>
        </w:tc>
        <w:tc>
          <w:tcPr>
            <w:tcW w:w="2445" w:type="dxa"/>
            <w:vAlign w:val="center"/>
          </w:tcPr>
          <w:p w14:paraId="1476660B">
            <w:pPr>
              <w:adjustRightInd w:val="0"/>
              <w:snapToGrid w:val="0"/>
              <w:spacing w:line="400" w:lineRule="exact"/>
              <w:rPr>
                <w:rFonts w:ascii="宋体"/>
              </w:rPr>
            </w:pPr>
            <w:r>
              <w:rPr>
                <w:rFonts w:hint="eastAsia" w:ascii="宋体" w:hAnsi="宋体" w:cs="宋体"/>
              </w:rPr>
              <w:t>施工组织设计暗标编制要求</w:t>
            </w:r>
          </w:p>
        </w:tc>
        <w:tc>
          <w:tcPr>
            <w:tcW w:w="6104" w:type="dxa"/>
            <w:vAlign w:val="center"/>
          </w:tcPr>
          <w:p w14:paraId="41C79CDD">
            <w:pPr>
              <w:adjustRightInd w:val="0"/>
              <w:snapToGrid w:val="0"/>
              <w:spacing w:line="400" w:lineRule="exact"/>
              <w:rPr>
                <w:rFonts w:ascii="宋体"/>
                <w:strike/>
              </w:rPr>
            </w:pPr>
            <w:r>
              <w:rPr>
                <w:rFonts w:hint="eastAsia" w:ascii="MS Mincho" w:hAnsi="MS Mincho" w:eastAsia="MS Mincho" w:cs="MS Mincho"/>
              </w:rPr>
              <w:t>☑</w:t>
            </w:r>
            <w:r>
              <w:rPr>
                <w:rFonts w:hint="eastAsia" w:ascii="宋体" w:hAnsi="宋体" w:cs="宋体"/>
              </w:rPr>
              <w:t>不采用      □采用。</w:t>
            </w:r>
          </w:p>
        </w:tc>
      </w:tr>
      <w:tr w14:paraId="16BB40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32F50C66">
            <w:pPr>
              <w:adjustRightInd w:val="0"/>
              <w:snapToGrid w:val="0"/>
              <w:spacing w:line="400" w:lineRule="exact"/>
              <w:jc w:val="center"/>
              <w:rPr>
                <w:rFonts w:ascii="宋体"/>
              </w:rPr>
            </w:pPr>
            <w:r>
              <w:rPr>
                <w:rFonts w:ascii="宋体" w:hAnsi="宋体" w:cs="宋体"/>
              </w:rPr>
              <w:t>3.6.6</w:t>
            </w:r>
          </w:p>
        </w:tc>
        <w:tc>
          <w:tcPr>
            <w:tcW w:w="2445" w:type="dxa"/>
            <w:vAlign w:val="center"/>
          </w:tcPr>
          <w:p w14:paraId="278659F2">
            <w:pPr>
              <w:adjustRightInd w:val="0"/>
              <w:snapToGrid w:val="0"/>
              <w:spacing w:line="400" w:lineRule="exact"/>
              <w:rPr>
                <w:rFonts w:ascii="宋体"/>
              </w:rPr>
            </w:pPr>
            <w:r>
              <w:rPr>
                <w:rFonts w:hint="eastAsia" w:ascii="宋体" w:hAnsi="宋体" w:cs="宋体"/>
              </w:rPr>
              <w:t>其他编制要求</w:t>
            </w:r>
          </w:p>
        </w:tc>
        <w:tc>
          <w:tcPr>
            <w:tcW w:w="6104" w:type="dxa"/>
            <w:vAlign w:val="center"/>
          </w:tcPr>
          <w:p w14:paraId="2F82297D">
            <w:pPr>
              <w:adjustRightInd w:val="0"/>
              <w:snapToGrid w:val="0"/>
              <w:spacing w:line="400" w:lineRule="exact"/>
              <w:rPr>
                <w:rFonts w:ascii="宋体"/>
              </w:rPr>
            </w:pPr>
            <w:r>
              <w:rPr>
                <w:rFonts w:hint="eastAsia" w:asciiTheme="minorHAnsi" w:hAnsiTheme="minorHAnsi" w:eastAsiaTheme="minorEastAsia" w:cstheme="minorBidi"/>
                <w:b/>
                <w:kern w:val="0"/>
                <w:sz w:val="22"/>
                <w:szCs w:val="22"/>
              </w:rPr>
              <w:t>/</w:t>
            </w:r>
          </w:p>
        </w:tc>
      </w:tr>
      <w:tr w14:paraId="024B5C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71" w:type="dxa"/>
            <w:vAlign w:val="center"/>
          </w:tcPr>
          <w:p w14:paraId="76BCCA7F">
            <w:pPr>
              <w:adjustRightInd w:val="0"/>
              <w:snapToGrid w:val="0"/>
              <w:spacing w:line="400" w:lineRule="exact"/>
              <w:jc w:val="center"/>
              <w:rPr>
                <w:rFonts w:ascii="宋体"/>
              </w:rPr>
            </w:pPr>
            <w:r>
              <w:rPr>
                <w:rFonts w:ascii="宋体" w:hAnsi="宋体" w:cs="宋体"/>
              </w:rPr>
              <w:t>4.2.1</w:t>
            </w:r>
          </w:p>
        </w:tc>
        <w:tc>
          <w:tcPr>
            <w:tcW w:w="2445" w:type="dxa"/>
            <w:vAlign w:val="center"/>
          </w:tcPr>
          <w:p w14:paraId="04EF0569">
            <w:pPr>
              <w:adjustRightInd w:val="0"/>
              <w:snapToGrid w:val="0"/>
              <w:spacing w:line="400" w:lineRule="exact"/>
              <w:jc w:val="left"/>
              <w:rPr>
                <w:rFonts w:ascii="宋体"/>
              </w:rPr>
            </w:pPr>
            <w:r>
              <w:rPr>
                <w:rFonts w:hint="eastAsia" w:ascii="宋体" w:hAnsi="宋体" w:cs="宋体"/>
              </w:rPr>
              <w:t>投标截止时间</w:t>
            </w:r>
          </w:p>
        </w:tc>
        <w:tc>
          <w:tcPr>
            <w:tcW w:w="6104" w:type="dxa"/>
            <w:vAlign w:val="center"/>
          </w:tcPr>
          <w:p w14:paraId="5528B2CB">
            <w:pPr>
              <w:adjustRightInd w:val="0"/>
              <w:snapToGrid w:val="0"/>
              <w:spacing w:line="400" w:lineRule="exact"/>
              <w:rPr>
                <w:rFonts w:ascii="宋体"/>
                <w:b/>
                <w:highlight w:val="none"/>
              </w:rPr>
            </w:pPr>
            <w:r>
              <w:rPr>
                <w:rFonts w:ascii="宋体" w:hAnsi="宋体" w:cs="宋体"/>
                <w:b/>
                <w:highlight w:val="none"/>
                <w:u w:val="single"/>
              </w:rPr>
              <w:t>202</w:t>
            </w:r>
            <w:r>
              <w:rPr>
                <w:rFonts w:hint="eastAsia" w:ascii="宋体" w:hAnsi="宋体" w:cs="宋体"/>
                <w:b/>
                <w:highlight w:val="none"/>
                <w:u w:val="single"/>
                <w:lang w:val="en-US" w:eastAsia="zh-CN"/>
              </w:rPr>
              <w:t>5</w:t>
            </w:r>
            <w:r>
              <w:rPr>
                <w:rFonts w:hint="eastAsia" w:ascii="宋体" w:hAnsi="宋体" w:cs="宋体"/>
                <w:b/>
                <w:highlight w:val="none"/>
              </w:rPr>
              <w:t>年</w:t>
            </w:r>
            <w:r>
              <w:rPr>
                <w:rFonts w:hint="eastAsia" w:ascii="宋体" w:hAnsi="宋体" w:cs="宋体"/>
                <w:b/>
                <w:highlight w:val="none"/>
                <w:u w:val="single"/>
                <w:lang w:val="en-US" w:eastAsia="zh-CN"/>
              </w:rPr>
              <w:t>3</w:t>
            </w:r>
            <w:r>
              <w:rPr>
                <w:rFonts w:hint="eastAsia" w:ascii="宋体" w:hAnsi="宋体" w:cs="宋体"/>
                <w:b/>
                <w:highlight w:val="none"/>
              </w:rPr>
              <w:t>月</w:t>
            </w:r>
            <w:r>
              <w:rPr>
                <w:rFonts w:hint="eastAsia" w:ascii="宋体" w:hAnsi="宋体" w:cs="宋体"/>
                <w:b/>
                <w:highlight w:val="none"/>
                <w:u w:val="single"/>
                <w:lang w:val="en-US" w:eastAsia="zh-CN"/>
              </w:rPr>
              <w:t>10</w:t>
            </w:r>
            <w:r>
              <w:rPr>
                <w:rFonts w:hint="eastAsia" w:ascii="宋体" w:hAnsi="宋体" w:cs="宋体"/>
                <w:b/>
                <w:highlight w:val="none"/>
              </w:rPr>
              <w:t>日</w:t>
            </w:r>
            <w:r>
              <w:rPr>
                <w:rFonts w:hint="eastAsia" w:ascii="宋体" w:hAnsi="宋体" w:cs="宋体"/>
                <w:b/>
                <w:highlight w:val="none"/>
                <w:u w:val="single"/>
                <w:lang w:val="en-US" w:eastAsia="zh-CN"/>
              </w:rPr>
              <w:t>14</w:t>
            </w:r>
            <w:r>
              <w:rPr>
                <w:rFonts w:hint="eastAsia" w:ascii="宋体" w:hAnsi="宋体" w:cs="宋体"/>
                <w:b/>
                <w:highlight w:val="none"/>
              </w:rPr>
              <w:t>时</w:t>
            </w:r>
            <w:r>
              <w:rPr>
                <w:rFonts w:hint="eastAsia" w:ascii="宋体" w:hAnsi="宋体" w:cs="宋体"/>
                <w:b/>
                <w:highlight w:val="none"/>
                <w:u w:val="single"/>
                <w:lang w:val="en-US" w:eastAsia="zh-CN"/>
              </w:rPr>
              <w:t>0</w:t>
            </w:r>
            <w:r>
              <w:rPr>
                <w:rFonts w:hint="eastAsia" w:ascii="宋体" w:hAnsi="宋体" w:cs="宋体"/>
                <w:b/>
                <w:highlight w:val="none"/>
                <w:u w:val="single"/>
              </w:rPr>
              <w:t>0</w:t>
            </w:r>
            <w:r>
              <w:rPr>
                <w:rFonts w:hint="eastAsia" w:ascii="宋体" w:hAnsi="宋体" w:cs="宋体"/>
                <w:b/>
                <w:highlight w:val="none"/>
              </w:rPr>
              <w:t>分</w:t>
            </w:r>
            <w:bookmarkStart w:id="170" w:name="_GoBack"/>
            <w:bookmarkEnd w:id="170"/>
          </w:p>
        </w:tc>
      </w:tr>
      <w:tr w14:paraId="54944B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3A7986A6">
            <w:pPr>
              <w:adjustRightInd w:val="0"/>
              <w:snapToGrid w:val="0"/>
              <w:spacing w:line="400" w:lineRule="exact"/>
              <w:jc w:val="center"/>
              <w:rPr>
                <w:rFonts w:ascii="宋体"/>
              </w:rPr>
            </w:pPr>
            <w:r>
              <w:rPr>
                <w:rFonts w:ascii="宋体" w:hAnsi="宋体" w:cs="宋体"/>
              </w:rPr>
              <w:t>4.2.3</w:t>
            </w:r>
          </w:p>
        </w:tc>
        <w:tc>
          <w:tcPr>
            <w:tcW w:w="2445" w:type="dxa"/>
            <w:vAlign w:val="center"/>
          </w:tcPr>
          <w:p w14:paraId="48874E11">
            <w:pPr>
              <w:adjustRightInd w:val="0"/>
              <w:snapToGrid w:val="0"/>
              <w:spacing w:line="400" w:lineRule="exact"/>
              <w:rPr>
                <w:rFonts w:ascii="宋体" w:hAnsi="宋体" w:cs="宋体"/>
              </w:rPr>
            </w:pPr>
            <w:r>
              <w:rPr>
                <w:rFonts w:hint="eastAsia" w:ascii="宋体" w:hAnsi="宋体" w:cs="宋体"/>
              </w:rPr>
              <w:t>递交投标文件地点</w:t>
            </w:r>
          </w:p>
        </w:tc>
        <w:tc>
          <w:tcPr>
            <w:tcW w:w="6104" w:type="dxa"/>
            <w:vAlign w:val="center"/>
          </w:tcPr>
          <w:p w14:paraId="23774DAE">
            <w:pPr>
              <w:adjustRightInd w:val="0"/>
              <w:snapToGrid w:val="0"/>
              <w:spacing w:line="400" w:lineRule="exact"/>
              <w:rPr>
                <w:rFonts w:ascii="宋体" w:hAnsi="宋体" w:cs="宋体"/>
                <w:highlight w:val="none"/>
              </w:rPr>
            </w:pPr>
            <w:r>
              <w:rPr>
                <w:rFonts w:hint="eastAsia" w:ascii="宋体" w:hAnsi="宋体" w:cs="宋体"/>
                <w:highlight w:val="none"/>
              </w:rPr>
              <w:t>通市通州区江海圆融汇1号楼16楼1610开标室</w:t>
            </w:r>
          </w:p>
        </w:tc>
      </w:tr>
      <w:tr w14:paraId="4B8094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71" w:type="dxa"/>
            <w:vAlign w:val="center"/>
          </w:tcPr>
          <w:p w14:paraId="4444C360">
            <w:pPr>
              <w:adjustRightInd w:val="0"/>
              <w:snapToGrid w:val="0"/>
              <w:spacing w:line="400" w:lineRule="exact"/>
              <w:jc w:val="center"/>
              <w:rPr>
                <w:rFonts w:ascii="宋体"/>
              </w:rPr>
            </w:pPr>
            <w:r>
              <w:rPr>
                <w:rFonts w:ascii="宋体" w:hAnsi="宋体" w:cs="宋体"/>
              </w:rPr>
              <w:t>5.1.1</w:t>
            </w:r>
          </w:p>
        </w:tc>
        <w:tc>
          <w:tcPr>
            <w:tcW w:w="2445" w:type="dxa"/>
            <w:vAlign w:val="center"/>
          </w:tcPr>
          <w:p w14:paraId="04D99E35">
            <w:pPr>
              <w:adjustRightInd w:val="0"/>
              <w:snapToGrid w:val="0"/>
              <w:spacing w:line="400" w:lineRule="exact"/>
              <w:rPr>
                <w:rFonts w:ascii="宋体"/>
              </w:rPr>
            </w:pPr>
            <w:r>
              <w:rPr>
                <w:rFonts w:hint="eastAsia" w:ascii="宋体" w:hAnsi="宋体" w:cs="宋体"/>
              </w:rPr>
              <w:t>开标时间和地点</w:t>
            </w:r>
          </w:p>
        </w:tc>
        <w:tc>
          <w:tcPr>
            <w:tcW w:w="6104" w:type="dxa"/>
            <w:vAlign w:val="center"/>
          </w:tcPr>
          <w:p w14:paraId="74210F71">
            <w:pPr>
              <w:spacing w:line="400" w:lineRule="exact"/>
              <w:rPr>
                <w:rFonts w:ascii="宋体" w:hAnsi="宋体" w:cs="宋体"/>
                <w:b/>
                <w:highlight w:val="none"/>
              </w:rPr>
            </w:pPr>
            <w:r>
              <w:rPr>
                <w:rFonts w:hint="eastAsia" w:ascii="宋体" w:hAnsi="宋体" w:cs="宋体"/>
                <w:b/>
                <w:highlight w:val="none"/>
              </w:rPr>
              <w:t>开标时间：</w:t>
            </w:r>
            <w:r>
              <w:rPr>
                <w:rFonts w:ascii="宋体" w:hAnsi="宋体" w:cs="宋体"/>
                <w:b/>
                <w:highlight w:val="none"/>
              </w:rPr>
              <w:t>20</w:t>
            </w:r>
            <w:r>
              <w:rPr>
                <w:rFonts w:hint="eastAsia" w:ascii="宋体" w:hAnsi="宋体" w:cs="宋体"/>
                <w:b/>
                <w:highlight w:val="none"/>
              </w:rPr>
              <w:t>2</w:t>
            </w:r>
            <w:r>
              <w:rPr>
                <w:rFonts w:hint="eastAsia" w:ascii="宋体" w:hAnsi="宋体" w:cs="宋体"/>
                <w:b/>
                <w:highlight w:val="none"/>
                <w:lang w:val="en-US" w:eastAsia="zh-CN"/>
              </w:rPr>
              <w:t>5</w:t>
            </w:r>
            <w:r>
              <w:rPr>
                <w:rFonts w:hint="eastAsia" w:ascii="宋体" w:hAnsi="宋体" w:cs="宋体"/>
                <w:b/>
                <w:highlight w:val="none"/>
              </w:rPr>
              <w:t>年</w:t>
            </w:r>
            <w:r>
              <w:rPr>
                <w:rFonts w:hint="eastAsia" w:ascii="宋体" w:hAnsi="宋体" w:cs="宋体"/>
                <w:b/>
                <w:highlight w:val="none"/>
                <w:u w:val="single"/>
                <w:lang w:val="en-US" w:eastAsia="zh-CN"/>
              </w:rPr>
              <w:t>3</w:t>
            </w:r>
            <w:r>
              <w:rPr>
                <w:rFonts w:hint="eastAsia" w:ascii="宋体" w:hAnsi="宋体" w:cs="宋体"/>
                <w:b/>
                <w:highlight w:val="none"/>
              </w:rPr>
              <w:t>月</w:t>
            </w:r>
            <w:r>
              <w:rPr>
                <w:rFonts w:hint="eastAsia" w:ascii="宋体" w:hAnsi="宋体" w:cs="宋体"/>
                <w:b/>
                <w:highlight w:val="none"/>
                <w:u w:val="single"/>
                <w:lang w:val="en-US" w:eastAsia="zh-CN"/>
              </w:rPr>
              <w:t>10</w:t>
            </w:r>
            <w:r>
              <w:rPr>
                <w:rFonts w:hint="eastAsia" w:ascii="宋体" w:hAnsi="宋体" w:cs="宋体"/>
                <w:b/>
                <w:highlight w:val="none"/>
              </w:rPr>
              <w:t>日</w:t>
            </w:r>
            <w:r>
              <w:rPr>
                <w:rFonts w:hint="eastAsia" w:ascii="宋体" w:hAnsi="宋体" w:cs="宋体"/>
                <w:b/>
                <w:highlight w:val="none"/>
                <w:lang w:val="en-US" w:eastAsia="zh-CN"/>
              </w:rPr>
              <w:t>14</w:t>
            </w:r>
            <w:r>
              <w:rPr>
                <w:rFonts w:hint="eastAsia" w:ascii="宋体" w:hAnsi="宋体" w:cs="宋体"/>
                <w:b/>
                <w:highlight w:val="none"/>
              </w:rPr>
              <w:t>时</w:t>
            </w:r>
            <w:r>
              <w:rPr>
                <w:rFonts w:hint="eastAsia" w:ascii="宋体" w:hAnsi="宋体" w:cs="宋体"/>
                <w:b/>
                <w:highlight w:val="none"/>
                <w:lang w:val="en-US" w:eastAsia="zh-CN"/>
              </w:rPr>
              <w:t>0</w:t>
            </w:r>
            <w:r>
              <w:rPr>
                <w:rFonts w:hint="eastAsia" w:ascii="宋体" w:hAnsi="宋体" w:cs="宋体"/>
                <w:b/>
                <w:highlight w:val="none"/>
              </w:rPr>
              <w:t>0分</w:t>
            </w:r>
          </w:p>
          <w:p w14:paraId="2B80C1F6">
            <w:pPr>
              <w:adjustRightInd w:val="0"/>
              <w:snapToGrid w:val="0"/>
              <w:spacing w:line="400" w:lineRule="exact"/>
              <w:rPr>
                <w:highlight w:val="none"/>
              </w:rPr>
            </w:pPr>
            <w:r>
              <w:rPr>
                <w:rFonts w:hint="eastAsia" w:ascii="宋体" w:hAnsi="宋体" w:cs="宋体"/>
                <w:b/>
                <w:bCs/>
                <w:highlight w:val="none"/>
                <w:lang w:val="en-US" w:eastAsia="zh-CN"/>
              </w:rPr>
              <w:t>开标</w:t>
            </w:r>
            <w:r>
              <w:rPr>
                <w:rFonts w:hint="eastAsia" w:ascii="宋体" w:hAnsi="宋体" w:cs="宋体"/>
                <w:b/>
                <w:bCs/>
                <w:highlight w:val="none"/>
              </w:rPr>
              <w:t>地点：通市通州区江海圆融汇1号楼16楼1610开标室</w:t>
            </w:r>
          </w:p>
        </w:tc>
      </w:tr>
      <w:tr w14:paraId="5EEBC2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71" w:type="dxa"/>
            <w:vAlign w:val="center"/>
          </w:tcPr>
          <w:p w14:paraId="14B8F34D">
            <w:pPr>
              <w:adjustRightInd w:val="0"/>
              <w:snapToGrid w:val="0"/>
              <w:spacing w:line="400" w:lineRule="exact"/>
              <w:jc w:val="center"/>
              <w:rPr>
                <w:rFonts w:ascii="宋体"/>
              </w:rPr>
            </w:pPr>
            <w:r>
              <w:rPr>
                <w:rFonts w:ascii="宋体" w:hAnsi="宋体" w:cs="宋体"/>
              </w:rPr>
              <w:t>5.1.2</w:t>
            </w:r>
          </w:p>
        </w:tc>
        <w:tc>
          <w:tcPr>
            <w:tcW w:w="2445" w:type="dxa"/>
            <w:vAlign w:val="center"/>
          </w:tcPr>
          <w:p w14:paraId="1E6A1D62">
            <w:pPr>
              <w:adjustRightInd w:val="0"/>
              <w:snapToGrid w:val="0"/>
              <w:spacing w:line="400" w:lineRule="exact"/>
              <w:rPr>
                <w:rFonts w:ascii="宋体"/>
              </w:rPr>
            </w:pPr>
            <w:r>
              <w:rPr>
                <w:rFonts w:hint="eastAsia" w:ascii="宋体" w:hAnsi="宋体" w:cs="宋体"/>
              </w:rPr>
              <w:t>参加开标会的投标人代表</w:t>
            </w:r>
          </w:p>
        </w:tc>
        <w:tc>
          <w:tcPr>
            <w:tcW w:w="6104" w:type="dxa"/>
            <w:vAlign w:val="center"/>
          </w:tcPr>
          <w:p w14:paraId="4BB6CFE1">
            <w:pPr>
              <w:pStyle w:val="270"/>
              <w:spacing w:line="400" w:lineRule="exact"/>
              <w:jc w:val="both"/>
              <w:rPr>
                <w:color w:val="FF0000"/>
              </w:rPr>
            </w:pPr>
            <w:r>
              <w:rPr>
                <w:rFonts w:hint="eastAsia" w:ascii="宋体" w:hAnsi="宋体" w:cs="宋体"/>
                <w:color w:val="auto"/>
                <w:kern w:val="2"/>
                <w:sz w:val="21"/>
                <w:szCs w:val="21"/>
              </w:rPr>
              <w:t>本项目的授权委托人需出示身份证，亲自、准时参加开标会议，否则不论何原因，均视为自动弃权，其投标文件将被招标人拒绝。</w:t>
            </w:r>
          </w:p>
        </w:tc>
      </w:tr>
      <w:tr w14:paraId="21BA83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71" w:type="dxa"/>
            <w:vAlign w:val="center"/>
          </w:tcPr>
          <w:p w14:paraId="3E3DDA40">
            <w:pPr>
              <w:adjustRightInd w:val="0"/>
              <w:snapToGrid w:val="0"/>
              <w:spacing w:line="400" w:lineRule="exact"/>
              <w:jc w:val="center"/>
              <w:rPr>
                <w:rFonts w:ascii="宋体"/>
              </w:rPr>
            </w:pPr>
            <w:r>
              <w:rPr>
                <w:rFonts w:ascii="宋体" w:hAnsi="宋体" w:cs="宋体"/>
              </w:rPr>
              <w:t>6.1.1</w:t>
            </w:r>
          </w:p>
        </w:tc>
        <w:tc>
          <w:tcPr>
            <w:tcW w:w="2445" w:type="dxa"/>
            <w:vAlign w:val="center"/>
          </w:tcPr>
          <w:p w14:paraId="378D93E6">
            <w:pPr>
              <w:adjustRightInd w:val="0"/>
              <w:snapToGrid w:val="0"/>
              <w:spacing w:line="400" w:lineRule="exact"/>
              <w:rPr>
                <w:rFonts w:ascii="宋体"/>
              </w:rPr>
            </w:pPr>
            <w:r>
              <w:rPr>
                <w:rFonts w:hint="eastAsia" w:ascii="宋体" w:hAnsi="宋体" w:cs="宋体"/>
              </w:rPr>
              <w:t>评标委员会的组建</w:t>
            </w:r>
          </w:p>
        </w:tc>
        <w:tc>
          <w:tcPr>
            <w:tcW w:w="6104" w:type="dxa"/>
            <w:vAlign w:val="center"/>
          </w:tcPr>
          <w:p w14:paraId="55906944">
            <w:pPr>
              <w:adjustRightInd w:val="0"/>
              <w:snapToGrid w:val="0"/>
              <w:spacing w:line="400" w:lineRule="exact"/>
              <w:rPr>
                <w:rFonts w:ascii="宋体"/>
              </w:rPr>
            </w:pPr>
            <w:r>
              <w:rPr>
                <w:rFonts w:hint="eastAsia" w:ascii="宋体" w:hAnsi="宋体" w:cs="宋体"/>
                <w:highlight w:val="none"/>
              </w:rPr>
              <w:t>评标委员会构成：</w:t>
            </w:r>
            <w:r>
              <w:rPr>
                <w:rFonts w:hint="eastAsia" w:ascii="宋体" w:hAnsi="宋体" w:cs="宋体"/>
                <w:color w:val="333333"/>
                <w:highlight w:val="none"/>
                <w:u w:val="single"/>
              </w:rPr>
              <w:t>由有关技术、经济等方面的专家</w:t>
            </w:r>
            <w:r>
              <w:rPr>
                <w:rFonts w:hint="eastAsia" w:ascii="宋体" w:hAnsi="宋体" w:cs="宋体"/>
                <w:color w:val="333333"/>
                <w:highlight w:val="none"/>
                <w:u w:val="single"/>
                <w:lang w:val="en-US" w:eastAsia="zh-CN"/>
              </w:rPr>
              <w:t>5</w:t>
            </w:r>
            <w:r>
              <w:rPr>
                <w:rFonts w:hint="eastAsia" w:ascii="宋体" w:hAnsi="宋体" w:cs="宋体"/>
                <w:color w:val="333333"/>
                <w:highlight w:val="none"/>
                <w:u w:val="single"/>
              </w:rPr>
              <w:t>人以上（含</w:t>
            </w:r>
            <w:r>
              <w:rPr>
                <w:rFonts w:hint="eastAsia" w:ascii="宋体" w:hAnsi="宋体" w:cs="宋体"/>
                <w:color w:val="333333"/>
                <w:highlight w:val="none"/>
                <w:u w:val="single"/>
                <w:lang w:val="en-US" w:eastAsia="zh-CN"/>
              </w:rPr>
              <w:t>5</w:t>
            </w:r>
            <w:r>
              <w:rPr>
                <w:rFonts w:hint="eastAsia" w:ascii="宋体" w:hAnsi="宋体" w:cs="宋体"/>
                <w:color w:val="333333"/>
                <w:highlight w:val="none"/>
                <w:u w:val="single"/>
              </w:rPr>
              <w:t>人、单数）组成</w:t>
            </w:r>
            <w:r>
              <w:rPr>
                <w:rFonts w:hint="eastAsia" w:ascii="宋体" w:hAnsi="宋体" w:cs="宋体"/>
                <w:highlight w:val="none"/>
              </w:rPr>
              <w:t>。</w:t>
            </w:r>
          </w:p>
        </w:tc>
      </w:tr>
      <w:tr w14:paraId="3E1911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198374D2">
            <w:pPr>
              <w:adjustRightInd w:val="0"/>
              <w:snapToGrid w:val="0"/>
              <w:spacing w:line="400" w:lineRule="exact"/>
              <w:jc w:val="center"/>
              <w:rPr>
                <w:rFonts w:ascii="宋体"/>
              </w:rPr>
            </w:pPr>
            <w:r>
              <w:rPr>
                <w:rFonts w:ascii="宋体" w:hAnsi="宋体" w:cs="宋体"/>
              </w:rPr>
              <w:t>6.3</w:t>
            </w:r>
          </w:p>
        </w:tc>
        <w:tc>
          <w:tcPr>
            <w:tcW w:w="2445" w:type="dxa"/>
            <w:vAlign w:val="center"/>
          </w:tcPr>
          <w:p w14:paraId="5F5E24DD">
            <w:pPr>
              <w:adjustRightInd w:val="0"/>
              <w:snapToGrid w:val="0"/>
              <w:spacing w:line="400" w:lineRule="exact"/>
              <w:rPr>
                <w:rFonts w:ascii="宋体"/>
              </w:rPr>
            </w:pPr>
            <w:r>
              <w:rPr>
                <w:rFonts w:hint="eastAsia" w:ascii="宋体" w:hAnsi="宋体" w:cs="宋体"/>
              </w:rPr>
              <w:t>评标方法</w:t>
            </w:r>
          </w:p>
        </w:tc>
        <w:tc>
          <w:tcPr>
            <w:tcW w:w="6104" w:type="dxa"/>
            <w:vAlign w:val="center"/>
          </w:tcPr>
          <w:p w14:paraId="02649EEA">
            <w:pPr>
              <w:adjustRightInd w:val="0"/>
              <w:snapToGrid w:val="0"/>
              <w:spacing w:line="400" w:lineRule="exact"/>
              <w:rPr>
                <w:rFonts w:ascii="宋体"/>
              </w:rPr>
            </w:pPr>
            <w:r>
              <w:rPr>
                <w:rFonts w:hint="eastAsia" w:ascii="宋体" w:hAnsi="宋体" w:cs="宋体"/>
              </w:rPr>
              <w:t>□综合评估法</w:t>
            </w:r>
          </w:p>
          <w:p w14:paraId="22AB88FB">
            <w:pPr>
              <w:adjustRightInd w:val="0"/>
              <w:snapToGrid w:val="0"/>
              <w:spacing w:line="400" w:lineRule="exact"/>
              <w:rPr>
                <w:rFonts w:ascii="宋体"/>
              </w:rPr>
            </w:pPr>
            <w:r>
              <w:rPr>
                <w:rFonts w:hint="eastAsia" w:ascii="MS Mincho" w:hAnsi="MS Mincho" w:eastAsia="MS Mincho" w:cs="MS Mincho"/>
              </w:rPr>
              <w:t>☑</w:t>
            </w:r>
            <w:r>
              <w:rPr>
                <w:rFonts w:hint="eastAsia" w:ascii="宋体" w:hAnsi="宋体" w:cs="宋体"/>
              </w:rPr>
              <w:t>经评审的最低投标价法</w:t>
            </w:r>
          </w:p>
          <w:p w14:paraId="3333887E">
            <w:pPr>
              <w:adjustRightInd w:val="0"/>
              <w:snapToGrid w:val="0"/>
              <w:spacing w:line="400" w:lineRule="exact"/>
              <w:rPr>
                <w:rFonts w:ascii="宋体"/>
              </w:rPr>
            </w:pPr>
            <w:r>
              <w:rPr>
                <w:rFonts w:hint="eastAsia" w:ascii="宋体" w:hAnsi="宋体" w:cs="宋体"/>
              </w:rPr>
              <w:t>□合理低价法</w:t>
            </w:r>
          </w:p>
        </w:tc>
      </w:tr>
      <w:tr w14:paraId="602238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28E843D2">
            <w:pPr>
              <w:adjustRightInd w:val="0"/>
              <w:snapToGrid w:val="0"/>
              <w:spacing w:line="400" w:lineRule="exact"/>
              <w:jc w:val="center"/>
              <w:rPr>
                <w:rFonts w:ascii="宋体"/>
              </w:rPr>
            </w:pPr>
            <w:r>
              <w:rPr>
                <w:rFonts w:ascii="宋体" w:hAnsi="宋体" w:cs="宋体"/>
              </w:rPr>
              <w:t>7.1</w:t>
            </w:r>
          </w:p>
        </w:tc>
        <w:tc>
          <w:tcPr>
            <w:tcW w:w="2445" w:type="dxa"/>
            <w:vAlign w:val="center"/>
          </w:tcPr>
          <w:p w14:paraId="3CCDF8F6">
            <w:pPr>
              <w:adjustRightInd w:val="0"/>
              <w:snapToGrid w:val="0"/>
              <w:spacing w:line="400" w:lineRule="exact"/>
              <w:rPr>
                <w:rFonts w:ascii="宋体"/>
              </w:rPr>
            </w:pPr>
            <w:r>
              <w:rPr>
                <w:rFonts w:hint="eastAsia" w:ascii="宋体" w:hAnsi="宋体" w:cs="宋体"/>
              </w:rPr>
              <w:t>是否授权评标委员会确定中标人</w:t>
            </w:r>
          </w:p>
        </w:tc>
        <w:tc>
          <w:tcPr>
            <w:tcW w:w="6104" w:type="dxa"/>
            <w:vAlign w:val="center"/>
          </w:tcPr>
          <w:p w14:paraId="0A3A9B50">
            <w:pPr>
              <w:adjustRightInd w:val="0"/>
              <w:snapToGrid w:val="0"/>
              <w:spacing w:line="400" w:lineRule="exact"/>
              <w:rPr>
                <w:rFonts w:ascii="宋体"/>
              </w:rPr>
            </w:pPr>
            <w:r>
              <w:rPr>
                <w:rFonts w:hint="eastAsia" w:ascii="MS Mincho" w:hAnsi="MS Mincho" w:eastAsia="MS Mincho" w:cs="MS Mincho"/>
              </w:rPr>
              <w:t>☑</w:t>
            </w:r>
            <w:r>
              <w:rPr>
                <w:rFonts w:hint="eastAsia" w:ascii="宋体" w:hAnsi="宋体" w:cs="宋体"/>
              </w:rPr>
              <w:t>是</w:t>
            </w:r>
          </w:p>
          <w:p w14:paraId="2A3B4500">
            <w:pPr>
              <w:adjustRightInd w:val="0"/>
              <w:snapToGrid w:val="0"/>
              <w:spacing w:line="400" w:lineRule="exact"/>
              <w:rPr>
                <w:rFonts w:ascii="宋体"/>
              </w:rPr>
            </w:pPr>
            <w:r>
              <w:rPr>
                <w:rFonts w:hint="eastAsia" w:ascii="宋体" w:hAnsi="宋体" w:cs="宋体"/>
              </w:rPr>
              <w:t>□否，推荐的中标候选人数：</w:t>
            </w:r>
          </w:p>
        </w:tc>
      </w:tr>
      <w:tr w14:paraId="320E8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871" w:type="dxa"/>
            <w:vAlign w:val="center"/>
          </w:tcPr>
          <w:p w14:paraId="7D6471CC">
            <w:pPr>
              <w:adjustRightInd w:val="0"/>
              <w:snapToGrid w:val="0"/>
              <w:spacing w:line="400" w:lineRule="exact"/>
              <w:jc w:val="center"/>
              <w:rPr>
                <w:rFonts w:ascii="宋体"/>
              </w:rPr>
            </w:pPr>
            <w:r>
              <w:rPr>
                <w:rFonts w:ascii="宋体" w:hAnsi="宋体" w:cs="宋体"/>
              </w:rPr>
              <w:t>7.3.1</w:t>
            </w:r>
          </w:p>
        </w:tc>
        <w:tc>
          <w:tcPr>
            <w:tcW w:w="2445" w:type="dxa"/>
            <w:vAlign w:val="center"/>
          </w:tcPr>
          <w:p w14:paraId="541616C6">
            <w:pPr>
              <w:adjustRightInd w:val="0"/>
              <w:snapToGrid w:val="0"/>
              <w:spacing w:line="400" w:lineRule="exact"/>
              <w:rPr>
                <w:rFonts w:ascii="宋体"/>
                <w:highlight w:val="none"/>
              </w:rPr>
            </w:pPr>
            <w:r>
              <w:rPr>
                <w:rFonts w:hint="eastAsia" w:ascii="宋体" w:hAnsi="宋体" w:cs="宋体"/>
                <w:highlight w:val="none"/>
              </w:rPr>
              <w:t>履约保证金</w:t>
            </w:r>
          </w:p>
        </w:tc>
        <w:tc>
          <w:tcPr>
            <w:tcW w:w="6104" w:type="dxa"/>
            <w:vAlign w:val="center"/>
          </w:tcPr>
          <w:p w14:paraId="596912C4">
            <w:pPr>
              <w:adjustRightInd w:val="0"/>
              <w:snapToGrid w:val="0"/>
              <w:spacing w:line="360" w:lineRule="exact"/>
              <w:ind w:left="2310" w:hanging="2310" w:hangingChars="1100"/>
              <w:rPr>
                <w:rFonts w:ascii="宋体"/>
                <w:highlight w:val="none"/>
              </w:rPr>
            </w:pPr>
            <w:r>
              <w:rPr>
                <w:rFonts w:hint="eastAsia" w:ascii="MS Mincho" w:hAnsi="MS Mincho" w:eastAsia="MS Mincho" w:cs="MS Mincho"/>
                <w:highlight w:val="none"/>
              </w:rPr>
              <w:t>☑</w:t>
            </w:r>
            <w:r>
              <w:rPr>
                <w:rFonts w:hint="eastAsia" w:ascii="宋体" w:hAnsi="宋体" w:cs="宋体"/>
                <w:highlight w:val="none"/>
              </w:rPr>
              <w:t>是履约保证金的形式：银行汇票或电汇或履约保函</w:t>
            </w:r>
          </w:p>
          <w:p w14:paraId="338AA71B">
            <w:pPr>
              <w:spacing w:line="360" w:lineRule="exact"/>
              <w:rPr>
                <w:rFonts w:ascii="宋体" w:hAnsi="宋体" w:cs="宋体"/>
                <w:color w:val="000000"/>
                <w:sz w:val="24"/>
                <w:szCs w:val="24"/>
                <w:highlight w:val="none"/>
              </w:rPr>
            </w:pPr>
            <w:r>
              <w:rPr>
                <w:rFonts w:hint="eastAsia" w:ascii="宋体" w:hAnsi="宋体" w:cs="宋体"/>
                <w:highlight w:val="none"/>
              </w:rPr>
              <w:t>履约保证金的金额：中标人提供的履约保证金额为中标价的</w:t>
            </w:r>
            <w:r>
              <w:rPr>
                <w:rFonts w:hint="eastAsia" w:ascii="宋体" w:hAnsi="宋体" w:cs="宋体"/>
                <w:highlight w:val="none"/>
                <w:lang w:val="en-US" w:eastAsia="zh-CN"/>
              </w:rPr>
              <w:t>2</w:t>
            </w:r>
            <w:r>
              <w:rPr>
                <w:rFonts w:hint="eastAsia" w:ascii="宋体" w:hAnsi="宋体" w:cs="宋体"/>
                <w:highlight w:val="none"/>
              </w:rPr>
              <w:t>0</w:t>
            </w:r>
            <w:r>
              <w:rPr>
                <w:rFonts w:ascii="宋体" w:hAnsi="宋体" w:cs="宋体"/>
                <w:highlight w:val="none"/>
              </w:rPr>
              <w:t>%</w:t>
            </w:r>
            <w:r>
              <w:rPr>
                <w:rFonts w:hint="eastAsia" w:ascii="宋体" w:hAnsi="宋体" w:cs="宋体"/>
                <w:highlight w:val="none"/>
              </w:rPr>
              <w:t>，其中工期为</w:t>
            </w:r>
            <w:r>
              <w:rPr>
                <w:rFonts w:hint="eastAsia" w:ascii="宋体" w:hAnsi="宋体" w:cs="宋体"/>
                <w:highlight w:val="none"/>
                <w:lang w:val="en-US" w:eastAsia="zh-CN"/>
              </w:rPr>
              <w:t>4</w:t>
            </w:r>
            <w:r>
              <w:rPr>
                <w:rFonts w:hint="eastAsia" w:ascii="宋体" w:hAnsi="宋体" w:cs="宋体"/>
                <w:highlight w:val="none"/>
              </w:rPr>
              <w:t>％ ，质量为</w:t>
            </w:r>
            <w:r>
              <w:rPr>
                <w:rFonts w:hint="eastAsia" w:ascii="宋体" w:hAnsi="宋体" w:cs="宋体"/>
                <w:highlight w:val="none"/>
                <w:lang w:val="en-US" w:eastAsia="zh-CN"/>
              </w:rPr>
              <w:t>8</w:t>
            </w:r>
            <w:r>
              <w:rPr>
                <w:rFonts w:hint="eastAsia" w:ascii="宋体" w:hAnsi="宋体" w:cs="宋体"/>
                <w:highlight w:val="none"/>
              </w:rPr>
              <w:t>％，安全</w:t>
            </w:r>
            <w:r>
              <w:rPr>
                <w:rFonts w:hint="eastAsia" w:ascii="宋体" w:hAnsi="宋体" w:cs="宋体"/>
                <w:highlight w:val="none"/>
                <w:lang w:val="en-US" w:eastAsia="zh-CN"/>
              </w:rPr>
              <w:t>6</w:t>
            </w:r>
            <w:r>
              <w:rPr>
                <w:rFonts w:hint="eastAsia" w:ascii="宋体" w:hAnsi="宋体" w:cs="宋体"/>
                <w:highlight w:val="none"/>
              </w:rPr>
              <w:t>％，竣工资料</w:t>
            </w:r>
            <w:r>
              <w:rPr>
                <w:rFonts w:hint="eastAsia" w:ascii="宋体" w:hAnsi="宋体" w:cs="宋体"/>
                <w:highlight w:val="none"/>
                <w:lang w:val="en-US" w:eastAsia="zh-CN"/>
              </w:rPr>
              <w:t>1</w:t>
            </w:r>
            <w:r>
              <w:rPr>
                <w:rFonts w:hint="eastAsia" w:ascii="宋体" w:hAnsi="宋体" w:cs="宋体"/>
                <w:highlight w:val="none"/>
              </w:rPr>
              <w:t>％，廉政保证金</w:t>
            </w:r>
            <w:r>
              <w:rPr>
                <w:rFonts w:hint="eastAsia" w:ascii="宋体" w:hAnsi="宋体" w:cs="宋体"/>
                <w:highlight w:val="none"/>
                <w:lang w:val="en-US" w:eastAsia="zh-CN"/>
              </w:rPr>
              <w:t>1</w:t>
            </w:r>
            <w:r>
              <w:rPr>
                <w:rFonts w:hint="eastAsia" w:ascii="宋体" w:hAnsi="宋体" w:cs="宋体"/>
                <w:highlight w:val="none"/>
              </w:rPr>
              <w:t>％。</w:t>
            </w:r>
          </w:p>
          <w:p w14:paraId="018E565B">
            <w:pPr>
              <w:adjustRightInd w:val="0"/>
              <w:snapToGrid w:val="0"/>
              <w:spacing w:line="360" w:lineRule="exact"/>
              <w:rPr>
                <w:rFonts w:ascii="宋体"/>
                <w:highlight w:val="none"/>
              </w:rPr>
            </w:pPr>
            <w:r>
              <w:rPr>
                <w:rFonts w:hint="eastAsia" w:ascii="宋体" w:hAnsi="宋体" w:cs="宋体"/>
                <w:highlight w:val="none"/>
              </w:rPr>
              <w:t>□否</w:t>
            </w:r>
          </w:p>
        </w:tc>
      </w:tr>
      <w:tr w14:paraId="61FF3B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71" w:type="dxa"/>
            <w:vAlign w:val="center"/>
          </w:tcPr>
          <w:p w14:paraId="7EEEDD3E">
            <w:pPr>
              <w:adjustRightInd w:val="0"/>
              <w:snapToGrid w:val="0"/>
              <w:spacing w:line="400" w:lineRule="exact"/>
              <w:jc w:val="center"/>
              <w:rPr>
                <w:rFonts w:ascii="宋体"/>
              </w:rPr>
            </w:pPr>
            <w:r>
              <w:rPr>
                <w:rFonts w:ascii="宋体" w:hAnsi="宋体" w:cs="宋体"/>
              </w:rPr>
              <w:t>8.5.1</w:t>
            </w:r>
          </w:p>
        </w:tc>
        <w:tc>
          <w:tcPr>
            <w:tcW w:w="2445" w:type="dxa"/>
            <w:vAlign w:val="center"/>
          </w:tcPr>
          <w:p w14:paraId="1D6A969F">
            <w:pPr>
              <w:adjustRightInd w:val="0"/>
              <w:snapToGrid w:val="0"/>
              <w:spacing w:line="400" w:lineRule="exact"/>
              <w:rPr>
                <w:rFonts w:ascii="宋体"/>
              </w:rPr>
            </w:pPr>
            <w:r>
              <w:rPr>
                <w:rFonts w:hint="eastAsia" w:ascii="宋体" w:hAnsi="宋体" w:cs="宋体"/>
              </w:rPr>
              <w:t>异议提出的时间</w:t>
            </w:r>
          </w:p>
        </w:tc>
        <w:tc>
          <w:tcPr>
            <w:tcW w:w="6104" w:type="dxa"/>
            <w:vAlign w:val="center"/>
          </w:tcPr>
          <w:p w14:paraId="10DFC0E9">
            <w:pPr>
              <w:adjustRightInd w:val="0"/>
              <w:snapToGrid w:val="0"/>
              <w:spacing w:line="400" w:lineRule="exact"/>
              <w:rPr>
                <w:rFonts w:ascii="宋体"/>
                <w:highlight w:val="none"/>
              </w:rPr>
            </w:pPr>
            <w:r>
              <w:rPr>
                <w:rFonts w:hint="eastAsia" w:ascii="宋体" w:hAnsi="宋体" w:cs="宋体"/>
                <w:highlight w:val="none"/>
              </w:rPr>
              <w:t>（</w:t>
            </w:r>
            <w:r>
              <w:rPr>
                <w:rFonts w:ascii="宋体" w:hAnsi="宋体" w:cs="宋体"/>
                <w:highlight w:val="none"/>
              </w:rPr>
              <w:t>1</w:t>
            </w:r>
            <w:r>
              <w:rPr>
                <w:rFonts w:hint="eastAsia" w:ascii="宋体" w:hAnsi="宋体" w:cs="宋体"/>
                <w:highlight w:val="none"/>
              </w:rPr>
              <w:t>）对资格预审文件有异议的，潜在投标人或者其他利害关系人应当在提交资格预审申请文件截止时间</w:t>
            </w:r>
            <w:r>
              <w:rPr>
                <w:rFonts w:ascii="宋体" w:hAnsi="宋体" w:cs="宋体"/>
                <w:highlight w:val="none"/>
              </w:rPr>
              <w:t>2</w:t>
            </w:r>
            <w:r>
              <w:rPr>
                <w:rFonts w:hint="eastAsia" w:ascii="宋体" w:hAnsi="宋体" w:cs="宋体"/>
                <w:highlight w:val="none"/>
              </w:rPr>
              <w:t>日前提出；</w:t>
            </w:r>
          </w:p>
          <w:p w14:paraId="2DB52AFB">
            <w:pPr>
              <w:adjustRightInd w:val="0"/>
              <w:snapToGrid w:val="0"/>
              <w:spacing w:line="400" w:lineRule="exact"/>
              <w:rPr>
                <w:rFonts w:ascii="宋体"/>
                <w:highlight w:val="none"/>
              </w:rPr>
            </w:pPr>
            <w:r>
              <w:rPr>
                <w:rFonts w:hint="eastAsia" w:ascii="宋体" w:hAnsi="宋体" w:cs="宋体"/>
                <w:highlight w:val="none"/>
              </w:rPr>
              <w:t>（</w:t>
            </w:r>
            <w:r>
              <w:rPr>
                <w:rFonts w:ascii="宋体" w:hAnsi="宋体" w:cs="宋体"/>
                <w:highlight w:val="none"/>
              </w:rPr>
              <w:t>2</w:t>
            </w:r>
            <w:r>
              <w:rPr>
                <w:rFonts w:hint="eastAsia" w:ascii="宋体" w:hAnsi="宋体" w:cs="宋体"/>
                <w:highlight w:val="none"/>
              </w:rPr>
              <w:t>）对招标文件有异议的，潜在投标人或者其他利害关系人应当在答疑澄清截止日前提出，其中对采用合理价随机确定中标人发包的，在提交投标文件截止时间</w:t>
            </w:r>
            <w:r>
              <w:rPr>
                <w:rFonts w:ascii="宋体" w:hAnsi="宋体" w:cs="宋体"/>
                <w:highlight w:val="none"/>
              </w:rPr>
              <w:t>1</w:t>
            </w:r>
            <w:r>
              <w:rPr>
                <w:rFonts w:hint="eastAsia" w:ascii="宋体" w:hAnsi="宋体" w:cs="宋体"/>
                <w:highlight w:val="none"/>
              </w:rPr>
              <w:t>日前提出；</w:t>
            </w:r>
          </w:p>
          <w:p w14:paraId="000FFABD">
            <w:pPr>
              <w:adjustRightInd w:val="0"/>
              <w:snapToGrid w:val="0"/>
              <w:spacing w:line="400" w:lineRule="exact"/>
              <w:rPr>
                <w:rFonts w:ascii="宋体"/>
                <w:highlight w:val="none"/>
              </w:rPr>
            </w:pPr>
            <w:r>
              <w:rPr>
                <w:rFonts w:hint="eastAsia" w:ascii="宋体" w:hAnsi="宋体" w:cs="宋体"/>
                <w:highlight w:val="none"/>
              </w:rPr>
              <w:t>（</w:t>
            </w:r>
            <w:r>
              <w:rPr>
                <w:rFonts w:ascii="宋体" w:hAnsi="宋体" w:cs="宋体"/>
                <w:highlight w:val="none"/>
              </w:rPr>
              <w:t>3</w:t>
            </w:r>
            <w:r>
              <w:rPr>
                <w:rFonts w:hint="eastAsia" w:ascii="宋体" w:hAnsi="宋体" w:cs="宋体"/>
                <w:highlight w:val="none"/>
              </w:rPr>
              <w:t>）对开标有异议的，应当及时在</w:t>
            </w:r>
            <w:r>
              <w:rPr>
                <w:rFonts w:hint="eastAsia" w:ascii="宋体" w:hAnsi="宋体" w:cs="宋体"/>
                <w:b/>
                <w:bCs/>
                <w:highlight w:val="none"/>
              </w:rPr>
              <w:t>开标现场</w:t>
            </w:r>
            <w:r>
              <w:rPr>
                <w:rFonts w:hint="eastAsia" w:ascii="宋体" w:hAnsi="宋体" w:cs="宋体"/>
                <w:highlight w:val="none"/>
              </w:rPr>
              <w:t>提出；开标结束后投标人不得对开标事项再提出异议。</w:t>
            </w:r>
          </w:p>
          <w:p w14:paraId="42B98F29">
            <w:pPr>
              <w:adjustRightInd w:val="0"/>
              <w:snapToGrid w:val="0"/>
              <w:spacing w:line="400" w:lineRule="exact"/>
              <w:rPr>
                <w:rFonts w:ascii="宋体"/>
                <w:highlight w:val="none"/>
              </w:rPr>
            </w:pPr>
            <w:r>
              <w:rPr>
                <w:rFonts w:hint="eastAsia" w:ascii="宋体" w:hAnsi="宋体" w:cs="宋体"/>
                <w:highlight w:val="none"/>
              </w:rPr>
              <w:t>（</w:t>
            </w:r>
            <w:r>
              <w:rPr>
                <w:rFonts w:ascii="宋体" w:hAnsi="宋体" w:cs="宋体"/>
                <w:highlight w:val="none"/>
              </w:rPr>
              <w:t>4</w:t>
            </w:r>
            <w:r>
              <w:rPr>
                <w:rFonts w:hint="eastAsia" w:ascii="宋体" w:hAnsi="宋体" w:cs="宋体"/>
                <w:highlight w:val="none"/>
              </w:rPr>
              <w:t>）对评标结果有异议的，投标人或者其他利害关系人应当在中标候选人的公示期间提出。</w:t>
            </w:r>
          </w:p>
          <w:p w14:paraId="39BBAFFB">
            <w:pPr>
              <w:spacing w:line="400" w:lineRule="exact"/>
              <w:rPr>
                <w:rFonts w:ascii="宋体"/>
                <w:highlight w:val="none"/>
              </w:rPr>
            </w:pPr>
            <w:r>
              <w:rPr>
                <w:rFonts w:hint="eastAsia" w:ascii="宋体" w:hAnsi="宋体" w:cs="宋体"/>
                <w:highlight w:val="none"/>
              </w:rPr>
              <w:t>异议受</w:t>
            </w:r>
            <w:r>
              <w:rPr>
                <w:rFonts w:hint="eastAsia" w:ascii="宋体" w:hAnsi="宋体" w:cs="宋体"/>
                <w:snapToGrid w:val="0"/>
                <w:kern w:val="0"/>
                <w:highlight w:val="none"/>
              </w:rPr>
              <w:t>理的机构：</w:t>
            </w:r>
            <w:r>
              <w:rPr>
                <w:rFonts w:hint="eastAsia" w:ascii="宋体" w:hAnsi="宋体" w:cs="宋体"/>
                <w:kern w:val="0"/>
                <w:highlight w:val="none"/>
              </w:rPr>
              <w:t>南通市通州区水务工程有限公司</w:t>
            </w:r>
          </w:p>
          <w:p w14:paraId="6D9E1765">
            <w:pPr>
              <w:adjustRightInd w:val="0"/>
              <w:snapToGrid w:val="0"/>
              <w:spacing w:line="400" w:lineRule="exact"/>
              <w:rPr>
                <w:rFonts w:ascii="宋体"/>
              </w:rPr>
            </w:pPr>
            <w:r>
              <w:rPr>
                <w:rFonts w:hint="eastAsia" w:ascii="宋体" w:hAnsi="宋体" w:cs="宋体"/>
                <w:snapToGrid w:val="0"/>
                <w:kern w:val="0"/>
                <w:highlight w:val="none"/>
              </w:rPr>
              <w:t>地址：南通市通州区金通路</w:t>
            </w:r>
            <w:r>
              <w:rPr>
                <w:rFonts w:ascii="宋体" w:hAnsi="宋体" w:cs="宋体"/>
                <w:snapToGrid w:val="0"/>
                <w:kern w:val="0"/>
                <w:highlight w:val="none"/>
              </w:rPr>
              <w:t>18号</w:t>
            </w:r>
          </w:p>
        </w:tc>
      </w:tr>
      <w:tr w14:paraId="63C6A1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420" w:type="dxa"/>
            <w:gridSpan w:val="3"/>
          </w:tcPr>
          <w:p w14:paraId="5D63CEAF">
            <w:pPr>
              <w:adjustRightInd w:val="0"/>
              <w:snapToGrid w:val="0"/>
              <w:spacing w:line="400" w:lineRule="exact"/>
              <w:rPr>
                <w:rFonts w:ascii="宋体"/>
              </w:rPr>
            </w:pPr>
            <w:r>
              <w:rPr>
                <w:rFonts w:hint="eastAsia" w:ascii="宋体" w:hAnsi="宋体" w:cs="宋体"/>
              </w:rPr>
              <w:t>需要补充的其他内容：</w:t>
            </w:r>
          </w:p>
          <w:p w14:paraId="1532A3BE">
            <w:pPr>
              <w:spacing w:line="400" w:lineRule="exact"/>
              <w:rPr>
                <w:rFonts w:ascii="宋体" w:hAnsi="宋体" w:cs="宋体"/>
              </w:rPr>
            </w:pPr>
            <w:r>
              <w:rPr>
                <w:rFonts w:hint="eastAsia" w:ascii="宋体" w:hAnsi="宋体" w:cs="宋体"/>
              </w:rPr>
              <w:t>1、现场条件：</w:t>
            </w:r>
          </w:p>
          <w:p w14:paraId="226AE62B">
            <w:pPr>
              <w:spacing w:line="400" w:lineRule="exact"/>
              <w:ind w:firstLine="420" w:firstLineChars="200"/>
              <w:rPr>
                <w:rFonts w:hint="eastAsia" w:ascii="宋体" w:hAnsi="宋体" w:cs="宋体"/>
                <w:u w:val="single"/>
              </w:rPr>
            </w:pPr>
            <w:r>
              <w:rPr>
                <w:rFonts w:hint="eastAsia" w:ascii="宋体" w:hAnsi="宋体" w:cs="宋体"/>
                <w:u w:val="none"/>
              </w:rPr>
              <w:t>(1)施工现场拆迁及平整情况：</w:t>
            </w:r>
            <w:r>
              <w:rPr>
                <w:rFonts w:hint="eastAsia" w:ascii="宋体" w:hAnsi="宋体" w:cs="宋体"/>
                <w:u w:val="single"/>
              </w:rPr>
              <w:t>拆迁由招标人负责，投标人配合；其它按现状，由投标人自行踏勘现场，自行解决，费用包含在投标报价中。</w:t>
            </w:r>
          </w:p>
          <w:p w14:paraId="687DECE6">
            <w:pPr>
              <w:spacing w:line="400" w:lineRule="exact"/>
              <w:ind w:firstLine="420" w:firstLineChars="200"/>
              <w:rPr>
                <w:rFonts w:hint="eastAsia" w:ascii="宋体" w:hAnsi="宋体" w:cs="宋体"/>
                <w:u w:val="single"/>
              </w:rPr>
            </w:pPr>
            <w:r>
              <w:rPr>
                <w:rFonts w:hint="eastAsia" w:ascii="宋体" w:hAnsi="宋体" w:cs="宋体"/>
                <w:u w:val="none"/>
              </w:rPr>
              <w:t>(2)施工用水、电（高、低压）：</w:t>
            </w:r>
            <w:r>
              <w:rPr>
                <w:rFonts w:hint="eastAsia" w:ascii="宋体" w:hAnsi="宋体" w:cs="宋体"/>
                <w:u w:val="single"/>
              </w:rPr>
              <w:t>由中标单位自行接至施工现场，费用包含在投标报价中 。</w:t>
            </w:r>
          </w:p>
          <w:p w14:paraId="6EFA9636">
            <w:pPr>
              <w:spacing w:line="400" w:lineRule="exact"/>
              <w:ind w:firstLine="420" w:firstLineChars="200"/>
              <w:rPr>
                <w:rFonts w:hint="eastAsia" w:ascii="宋体" w:hAnsi="宋体" w:cs="宋体"/>
                <w:u w:val="single"/>
              </w:rPr>
            </w:pPr>
            <w:r>
              <w:rPr>
                <w:rFonts w:hint="eastAsia" w:ascii="宋体" w:hAnsi="宋体" w:cs="宋体"/>
                <w:u w:val="none"/>
              </w:rPr>
              <w:t>(3)场内外道路：</w:t>
            </w:r>
            <w:r>
              <w:rPr>
                <w:rFonts w:hint="eastAsia" w:ascii="宋体" w:hAnsi="宋体" w:cs="宋体"/>
                <w:u w:val="single"/>
              </w:rPr>
              <w:t>按现状，由投标人自行踏勘现场，自行解决，费用包含在投标报价中。</w:t>
            </w:r>
          </w:p>
          <w:p w14:paraId="28B84F82">
            <w:pPr>
              <w:spacing w:line="400" w:lineRule="exact"/>
              <w:ind w:firstLine="420" w:firstLineChars="200"/>
              <w:rPr>
                <w:rFonts w:hint="eastAsia" w:ascii="宋体" w:hAnsi="宋体" w:cs="宋体"/>
                <w:u w:val="single"/>
              </w:rPr>
            </w:pPr>
            <w:r>
              <w:rPr>
                <w:rFonts w:hint="eastAsia" w:ascii="宋体" w:hAnsi="宋体" w:cs="宋体"/>
                <w:u w:val="none"/>
              </w:rPr>
              <w:t>(4)其他：</w:t>
            </w:r>
            <w:r>
              <w:rPr>
                <w:rFonts w:hint="eastAsia" w:ascii="宋体" w:hAnsi="宋体" w:cs="宋体"/>
                <w:u w:val="single"/>
              </w:rPr>
              <w:t>中标单位应独立、有效的做好该工程周边的有关群众工作，并充分考虑工程实施范围内外的单位、个人和其他可能出现阻挠施工的情况，若因此发生的机械台班停置费、二次机械进退场费、甲供材保管费、人员窝工、处理周边群众纠纷等费用和损失等，由投标人自行考虑，并列入投标报价，工程结算时不作调整，一旦中标不得对现场条件提出任何额外要求及任何费用。包含但不限于原有路底各类线管（雨污水管道、供水管道、</w:t>
            </w:r>
            <w:r>
              <w:rPr>
                <w:rFonts w:hint="eastAsia" w:ascii="宋体" w:hAnsi="宋体" w:cs="宋体"/>
                <w:u w:val="single"/>
                <w:lang w:val="en-US" w:eastAsia="zh-CN"/>
              </w:rPr>
              <w:t>强弱电、燃气管道等</w:t>
            </w:r>
            <w:r>
              <w:rPr>
                <w:rFonts w:hint="eastAsia" w:ascii="宋体" w:hAnsi="宋体" w:cs="宋体"/>
                <w:u w:val="single"/>
              </w:rPr>
              <w:t>其它管线</w:t>
            </w:r>
            <w:r>
              <w:rPr>
                <w:rFonts w:hint="eastAsia" w:ascii="宋体" w:hAnsi="宋体" w:cs="宋体"/>
                <w:u w:val="single"/>
                <w:lang w:val="en-US" w:eastAsia="zh-CN"/>
              </w:rPr>
              <w:t>及设施</w:t>
            </w:r>
            <w:r>
              <w:rPr>
                <w:rFonts w:hint="eastAsia" w:ascii="宋体" w:hAnsi="宋体" w:cs="宋体"/>
                <w:u w:val="single"/>
              </w:rPr>
              <w:t>）的保护措施、群众工作等引起误工、安全等，以上内容均由中标单位负责，甲方不予签证，施工单位在投标前请务必认真踏勘现场，投标报价时综合考虑，费用均包含在总价之中。</w:t>
            </w:r>
          </w:p>
          <w:p w14:paraId="635715C8">
            <w:pPr>
              <w:spacing w:line="400" w:lineRule="exact"/>
              <w:ind w:firstLine="420" w:firstLineChars="200"/>
              <w:rPr>
                <w:rFonts w:ascii="宋体" w:hAnsi="宋体" w:cs="宋体"/>
                <w:u w:val="single"/>
              </w:rPr>
            </w:pPr>
            <w:r>
              <w:rPr>
                <w:rFonts w:hint="eastAsia" w:ascii="宋体" w:hAnsi="宋体" w:cs="宋体"/>
                <w:u w:val="single"/>
              </w:rPr>
              <w:t>当招标人不统一组织现场踏勘时，请投标人务必自行认真踏勘现场条件并综合考虑到报价中，一旦中标不得对现场条件提出额外要求。</w:t>
            </w:r>
          </w:p>
          <w:p w14:paraId="26667767">
            <w:pPr>
              <w:widowControl/>
              <w:spacing w:line="440" w:lineRule="exact"/>
              <w:jc w:val="left"/>
              <w:rPr>
                <w:rFonts w:ascii="宋体" w:hAnsi="宋体" w:cs="宋体"/>
              </w:rPr>
            </w:pPr>
            <w:r>
              <w:rPr>
                <w:rFonts w:hint="eastAsia" w:ascii="宋体" w:hAnsi="宋体" w:cs="宋体"/>
              </w:rPr>
              <w:t>2、特别提醒：</w:t>
            </w:r>
          </w:p>
          <w:p w14:paraId="3498F61C">
            <w:pPr>
              <w:spacing w:line="400" w:lineRule="exact"/>
              <w:ind w:firstLine="420" w:firstLineChars="200"/>
              <w:rPr>
                <w:rFonts w:ascii="宋体" w:hAnsi="宋体" w:cs="宋体"/>
                <w:u w:val="single"/>
              </w:rPr>
            </w:pPr>
            <w:r>
              <w:rPr>
                <w:rFonts w:hint="eastAsia" w:ascii="宋体" w:hAnsi="宋体" w:cs="宋体"/>
                <w:u w:val="single"/>
              </w:rPr>
              <w:t>1、顶管施工单位负责两端处对拢（含球墨铸铁法兰配件及钢法兰安装）。</w:t>
            </w:r>
          </w:p>
          <w:p w14:paraId="268217FE">
            <w:pPr>
              <w:spacing w:line="400" w:lineRule="exact"/>
              <w:ind w:firstLine="420" w:firstLineChars="200"/>
              <w:rPr>
                <w:rFonts w:ascii="宋体" w:hAnsi="宋体" w:cs="宋体"/>
                <w:u w:val="single"/>
              </w:rPr>
            </w:pPr>
            <w:r>
              <w:rPr>
                <w:rFonts w:hint="eastAsia" w:ascii="宋体" w:hAnsi="宋体" w:cs="宋体"/>
                <w:u w:val="single"/>
              </w:rPr>
              <w:t>2、所有螺旋钢管防腐不计入本次招标。</w:t>
            </w:r>
          </w:p>
          <w:p w14:paraId="4BBE32C5">
            <w:pPr>
              <w:spacing w:line="400" w:lineRule="exact"/>
              <w:ind w:firstLine="420" w:firstLineChars="200"/>
              <w:rPr>
                <w:rFonts w:ascii="宋体" w:hAnsi="宋体" w:cs="宋体"/>
                <w:u w:val="single"/>
              </w:rPr>
            </w:pPr>
            <w:r>
              <w:rPr>
                <w:rFonts w:hint="eastAsia" w:ascii="宋体" w:hAnsi="宋体" w:cs="宋体"/>
                <w:u w:val="single"/>
              </w:rPr>
              <w:t>3、沟塘、暗河回填土方量由各投标单位自行勘察现场，计入报价，结算时不作调整；回填必须达到设计要求。</w:t>
            </w:r>
          </w:p>
          <w:p w14:paraId="4210A468">
            <w:pPr>
              <w:spacing w:line="400" w:lineRule="exact"/>
              <w:ind w:firstLine="420" w:firstLineChars="200"/>
              <w:rPr>
                <w:rFonts w:ascii="宋体" w:hAnsi="宋体" w:cs="宋体"/>
                <w:u w:val="single"/>
              </w:rPr>
            </w:pPr>
            <w:r>
              <w:rPr>
                <w:rFonts w:hint="eastAsia" w:ascii="宋体" w:hAnsi="宋体" w:cs="宋体"/>
                <w:u w:val="single"/>
              </w:rPr>
              <w:t>4、沟槽开挖和回填多余土方自行考虑，计入报价，结算时不作调整。</w:t>
            </w:r>
          </w:p>
          <w:p w14:paraId="601140BD">
            <w:pPr>
              <w:spacing w:line="400" w:lineRule="exact"/>
              <w:ind w:firstLine="420" w:firstLineChars="200"/>
              <w:rPr>
                <w:rFonts w:ascii="宋体" w:hAnsi="宋体" w:cs="宋体"/>
                <w:u w:val="single"/>
              </w:rPr>
            </w:pPr>
            <w:r>
              <w:rPr>
                <w:rFonts w:hint="eastAsia" w:ascii="宋体" w:hAnsi="宋体" w:cs="宋体"/>
                <w:u w:val="single"/>
              </w:rPr>
              <w:t>5、各投标单位实地勘察，过路、穿越砼场地开挖、修复、渣土外运计入报价，结算时不作调整；</w:t>
            </w:r>
          </w:p>
          <w:p w14:paraId="09FF8E2E">
            <w:pPr>
              <w:spacing w:line="400" w:lineRule="exact"/>
              <w:ind w:firstLine="420" w:firstLineChars="200"/>
              <w:rPr>
                <w:rFonts w:ascii="宋体" w:hAnsi="宋体" w:cs="宋体"/>
                <w:u w:val="single"/>
              </w:rPr>
            </w:pPr>
            <w:r>
              <w:rPr>
                <w:rFonts w:hint="eastAsia" w:ascii="宋体" w:hAnsi="宋体" w:cs="宋体"/>
                <w:u w:val="single"/>
              </w:rPr>
              <w:t>6、临时施工便道、管道二次驳运等措施费用自行考虑计入报价，结算时不作调整。</w:t>
            </w:r>
          </w:p>
          <w:p w14:paraId="3FCD7A20">
            <w:pPr>
              <w:spacing w:line="400" w:lineRule="exact"/>
              <w:ind w:firstLine="420" w:firstLineChars="200"/>
              <w:rPr>
                <w:rFonts w:ascii="宋体" w:hAnsi="宋体" w:cs="宋体"/>
                <w:u w:val="single"/>
              </w:rPr>
            </w:pPr>
            <w:r>
              <w:rPr>
                <w:rFonts w:hint="eastAsia" w:ascii="宋体" w:hAnsi="宋体" w:cs="宋体"/>
                <w:u w:val="single"/>
              </w:rPr>
              <w:t>7、请各投标人务必认真踏勘施工现场，施工单位施工时注意根据地质情况和施工环境选择合适的降排水措施，施工降水应确保周围建筑物安全</w:t>
            </w:r>
            <w:r>
              <w:rPr>
                <w:rFonts w:hint="eastAsia" w:ascii="宋体" w:hAnsi="宋体" w:cs="宋体"/>
                <w:u w:val="single"/>
                <w:lang w:eastAsia="zh-CN"/>
              </w:rPr>
              <w:t>，</w:t>
            </w:r>
            <w:r>
              <w:rPr>
                <w:rFonts w:hint="eastAsia" w:ascii="宋体" w:hAnsi="宋体" w:cs="宋体"/>
                <w:u w:val="single"/>
              </w:rPr>
              <w:t>上述费用包含在投标报价中，结算时不再另行增加费用。</w:t>
            </w:r>
          </w:p>
          <w:p w14:paraId="10104999">
            <w:pPr>
              <w:spacing w:line="400" w:lineRule="exact"/>
              <w:ind w:left="2" w:leftChars="1" w:firstLine="411" w:firstLineChars="196"/>
              <w:rPr>
                <w:rFonts w:ascii="宋体" w:hAnsi="宋体" w:cs="宋体"/>
                <w:u w:val="single"/>
              </w:rPr>
            </w:pPr>
            <w:r>
              <w:rPr>
                <w:rFonts w:hint="eastAsia" w:ascii="宋体" w:hAnsi="宋体" w:cs="宋体"/>
                <w:u w:val="single"/>
              </w:rPr>
              <w:t>8、请各投标人务必认真踏勘施工现场，管道、顶管工作井或接收井开挖时，需采用合适的支护措施进行支护，以确保安全</w:t>
            </w:r>
            <w:r>
              <w:rPr>
                <w:rFonts w:hint="eastAsia" w:ascii="宋体" w:hAnsi="宋体" w:cs="宋体"/>
                <w:u w:val="single"/>
                <w:lang w:eastAsia="zh-CN"/>
              </w:rPr>
              <w:t>，</w:t>
            </w:r>
            <w:r>
              <w:rPr>
                <w:rFonts w:hint="eastAsia" w:ascii="宋体" w:hAnsi="宋体" w:cs="宋体"/>
                <w:u w:val="single"/>
                <w:lang w:val="en-US" w:eastAsia="zh-CN"/>
              </w:rPr>
              <w:t>对邻近的建（构）筑物进行施工前、后的保全检测，</w:t>
            </w:r>
            <w:r>
              <w:rPr>
                <w:rFonts w:hint="eastAsia" w:ascii="宋体" w:hAnsi="宋体" w:cs="宋体"/>
                <w:u w:val="single"/>
              </w:rPr>
              <w:t>上述费用包含在投标报价中，结算时不再另行增加费用。</w:t>
            </w:r>
          </w:p>
          <w:p w14:paraId="0C16BFC5">
            <w:pPr>
              <w:spacing w:line="400" w:lineRule="exact"/>
              <w:ind w:left="2" w:leftChars="1" w:firstLine="411" w:firstLineChars="196"/>
              <w:rPr>
                <w:rFonts w:ascii="宋体" w:hAnsi="宋体" w:cs="宋体"/>
                <w:highlight w:val="none"/>
                <w:u w:val="single"/>
              </w:rPr>
            </w:pPr>
            <w:r>
              <w:rPr>
                <w:rFonts w:hint="eastAsia" w:ascii="宋体" w:hAnsi="宋体" w:cs="宋体"/>
                <w:u w:val="single"/>
              </w:rPr>
              <w:t>9、管道消毒冲洗不列入标底，由招标人负责，投标人派人协助，费用自行考虑，包含在投标报价中，</w:t>
            </w:r>
            <w:r>
              <w:rPr>
                <w:rFonts w:hint="eastAsia" w:ascii="宋体" w:hAnsi="宋体" w:cs="宋体"/>
                <w:highlight w:val="none"/>
                <w:u w:val="single"/>
              </w:rPr>
              <w:t>结算时不再另行增加费用。</w:t>
            </w:r>
          </w:p>
          <w:p w14:paraId="4EF617EE">
            <w:pPr>
              <w:spacing w:line="400" w:lineRule="exact"/>
              <w:ind w:left="2" w:leftChars="1" w:firstLine="413" w:firstLineChars="196"/>
              <w:rPr>
                <w:rFonts w:ascii="宋体" w:hAnsi="宋体" w:cs="宋体"/>
                <w:b/>
                <w:highlight w:val="none"/>
                <w:u w:val="single"/>
              </w:rPr>
            </w:pPr>
            <w:r>
              <w:rPr>
                <w:rFonts w:hint="eastAsia" w:ascii="宋体" w:hAnsi="宋体" w:cs="宋体"/>
                <w:b/>
                <w:highlight w:val="none"/>
                <w:u w:val="single"/>
              </w:rPr>
              <w:t>10、中标单位需提供的各专项方案：①提供经总监理工程师批准的并经专家论证的深基坑专项方案</w:t>
            </w:r>
            <w:r>
              <w:rPr>
                <w:rFonts w:hint="eastAsia" w:ascii="宋体" w:hAnsi="宋体" w:cs="宋体"/>
                <w:b/>
                <w:highlight w:val="none"/>
                <w:u w:val="single"/>
                <w:lang w:eastAsia="zh-CN"/>
              </w:rPr>
              <w:t>（</w:t>
            </w:r>
            <w:r>
              <w:rPr>
                <w:rFonts w:hint="eastAsia" w:ascii="宋体" w:hAnsi="宋体" w:cs="宋体"/>
                <w:b/>
                <w:highlight w:val="none"/>
                <w:u w:val="single"/>
                <w:lang w:val="en-US" w:eastAsia="zh-CN"/>
              </w:rPr>
              <w:t>包括不限于施工方案、监测方案</w:t>
            </w:r>
            <w:r>
              <w:rPr>
                <w:rFonts w:hint="eastAsia" w:ascii="宋体" w:hAnsi="宋体" w:cs="宋体"/>
                <w:b/>
                <w:highlight w:val="none"/>
                <w:u w:val="single"/>
                <w:lang w:eastAsia="zh-CN"/>
              </w:rPr>
              <w:t>）</w:t>
            </w:r>
            <w:r>
              <w:rPr>
                <w:rFonts w:hint="eastAsia" w:ascii="宋体" w:hAnsi="宋体" w:cs="宋体"/>
                <w:b/>
                <w:highlight w:val="none"/>
                <w:u w:val="single"/>
              </w:rPr>
              <w:t>；②提供符合有关技术标准、规范要求的施工方案及施工现场管理方案；③提供切实可行的交通组织方案；④提供处置施工险情和意外事故的应急处置方案。</w:t>
            </w:r>
          </w:p>
          <w:p w14:paraId="2166DED2">
            <w:pPr>
              <w:spacing w:line="400" w:lineRule="exact"/>
              <w:ind w:firstLine="420" w:firstLineChars="200"/>
              <w:rPr>
                <w:rFonts w:hint="eastAsia" w:ascii="宋体" w:hAnsi="宋体" w:cs="宋体"/>
                <w:highlight w:val="none"/>
                <w:u w:val="single"/>
              </w:rPr>
            </w:pPr>
            <w:r>
              <w:rPr>
                <w:rFonts w:hint="eastAsia" w:ascii="宋体" w:hAnsi="宋体" w:cs="宋体"/>
                <w:highlight w:val="none"/>
                <w:u w:val="single"/>
              </w:rPr>
              <w:t>11、工程的各项专项方案编制费和专家论证费、甲供材保管费、取费等投标人自行考虑，包含在投标报价中，结算时不再另行增加费用。</w:t>
            </w:r>
          </w:p>
          <w:p w14:paraId="2FB3B81A">
            <w:pPr>
              <w:spacing w:line="400" w:lineRule="exact"/>
              <w:ind w:firstLine="420" w:firstLineChars="200"/>
              <w:rPr>
                <w:rFonts w:ascii="宋体" w:hAnsi="宋体" w:cs="宋体"/>
                <w:highlight w:val="none"/>
                <w:u w:val="single"/>
              </w:rPr>
            </w:pPr>
            <w:r>
              <w:rPr>
                <w:rFonts w:hint="eastAsia" w:ascii="宋体" w:hAnsi="宋体" w:cs="宋体"/>
                <w:highlight w:val="none"/>
                <w:u w:val="single"/>
              </w:rPr>
              <w:t>1</w:t>
            </w:r>
            <w:r>
              <w:rPr>
                <w:rFonts w:hint="eastAsia" w:ascii="宋体" w:hAnsi="宋体" w:cs="宋体"/>
                <w:highlight w:val="none"/>
                <w:u w:val="single"/>
                <w:lang w:val="en-US" w:eastAsia="zh-CN"/>
              </w:rPr>
              <w:t>2</w:t>
            </w:r>
            <w:r>
              <w:rPr>
                <w:rFonts w:hint="eastAsia" w:ascii="宋体" w:hAnsi="宋体" w:cs="宋体"/>
                <w:highlight w:val="none"/>
                <w:u w:val="single"/>
              </w:rPr>
              <w:t>、管基不考虑砂垫层。</w:t>
            </w:r>
          </w:p>
          <w:p w14:paraId="0BA035BE">
            <w:pPr>
              <w:spacing w:line="400" w:lineRule="exact"/>
              <w:ind w:firstLine="420" w:firstLineChars="200"/>
              <w:rPr>
                <w:rFonts w:ascii="宋体" w:hAnsi="宋体" w:cs="宋体"/>
                <w:highlight w:val="none"/>
                <w:u w:val="single"/>
              </w:rPr>
            </w:pPr>
            <w:r>
              <w:rPr>
                <w:rFonts w:hint="eastAsia" w:ascii="宋体" w:hAnsi="宋体" w:cs="宋体"/>
                <w:highlight w:val="none"/>
                <w:u w:val="single"/>
              </w:rPr>
              <w:t>1</w:t>
            </w:r>
            <w:r>
              <w:rPr>
                <w:rFonts w:hint="eastAsia" w:ascii="宋体" w:hAnsi="宋体" w:cs="宋体"/>
                <w:highlight w:val="none"/>
                <w:u w:val="single"/>
                <w:lang w:val="en-US" w:eastAsia="zh-CN"/>
              </w:rPr>
              <w:t>3</w:t>
            </w:r>
            <w:r>
              <w:rPr>
                <w:rFonts w:hint="eastAsia" w:ascii="宋体" w:hAnsi="宋体" w:cs="宋体"/>
                <w:highlight w:val="none"/>
                <w:u w:val="single"/>
              </w:rPr>
              <w:t>、本工程所有管道接口及节点都必须GPS定位后方可回填，定位人员由招标人负责，投标人负责配合，费用自行考虑，包含在投标报价中，结算时不再另行增加费用。</w:t>
            </w:r>
          </w:p>
          <w:p w14:paraId="010A6453">
            <w:pPr>
              <w:spacing w:line="400" w:lineRule="exact"/>
              <w:ind w:firstLine="420" w:firstLineChars="200"/>
              <w:rPr>
                <w:rFonts w:ascii="宋体" w:hAnsi="宋体" w:cs="宋体"/>
                <w:highlight w:val="none"/>
                <w:u w:val="single"/>
              </w:rPr>
            </w:pPr>
            <w:r>
              <w:rPr>
                <w:rFonts w:hint="eastAsia" w:ascii="宋体" w:hAnsi="宋体" w:cs="宋体"/>
                <w:highlight w:val="none"/>
                <w:u w:val="single"/>
              </w:rPr>
              <w:t>1</w:t>
            </w:r>
            <w:r>
              <w:rPr>
                <w:rFonts w:hint="eastAsia" w:ascii="宋体" w:hAnsi="宋体" w:cs="宋体"/>
                <w:highlight w:val="none"/>
                <w:u w:val="single"/>
                <w:lang w:val="en-US" w:eastAsia="zh-CN"/>
              </w:rPr>
              <w:t>4</w:t>
            </w:r>
            <w:r>
              <w:rPr>
                <w:rFonts w:hint="eastAsia" w:ascii="宋体" w:hAnsi="宋体" w:cs="宋体"/>
                <w:highlight w:val="none"/>
                <w:u w:val="single"/>
              </w:rPr>
              <w:t>、除不可竞争费用（现场安全文明施工措施费、规费项目费、税金项目费）、暂列金额（使用权归业主方）、暂估价（如有，不允许调整，暂估材料料最终价格由招标人通过合适的方法确定）不得调整外，投标单位可根据自己的施工方案及企业自身情况不低于成本报价。</w:t>
            </w:r>
          </w:p>
          <w:p w14:paraId="68953BB8">
            <w:pPr>
              <w:spacing w:line="400" w:lineRule="exact"/>
              <w:ind w:firstLine="420" w:firstLineChars="200"/>
              <w:rPr>
                <w:rFonts w:hint="eastAsia" w:ascii="宋体" w:hAnsi="宋体" w:cs="宋体"/>
                <w:highlight w:val="none"/>
                <w:u w:val="single"/>
              </w:rPr>
            </w:pPr>
            <w:r>
              <w:rPr>
                <w:rFonts w:hint="eastAsia" w:ascii="宋体" w:hAnsi="宋体" w:cs="宋体"/>
                <w:highlight w:val="none"/>
                <w:u w:val="single"/>
              </w:rPr>
              <w:t>1</w:t>
            </w:r>
            <w:r>
              <w:rPr>
                <w:rFonts w:hint="eastAsia" w:ascii="宋体" w:hAnsi="宋体" w:cs="宋体"/>
                <w:highlight w:val="none"/>
                <w:u w:val="single"/>
                <w:lang w:val="en-US" w:eastAsia="zh-CN"/>
              </w:rPr>
              <w:t>5</w:t>
            </w:r>
            <w:r>
              <w:rPr>
                <w:rFonts w:hint="eastAsia" w:ascii="宋体" w:hAnsi="宋体" w:cs="宋体"/>
                <w:highlight w:val="none"/>
                <w:u w:val="single"/>
              </w:rPr>
              <w:t>、投标人确定投标报价，同时应考虑合同价中包含的所有风险、责任等各项费用，双方均不调整。</w:t>
            </w:r>
          </w:p>
          <w:p w14:paraId="3363F0DD">
            <w:pPr>
              <w:spacing w:line="400" w:lineRule="exact"/>
              <w:ind w:firstLine="420" w:firstLineChars="200"/>
              <w:rPr>
                <w:rFonts w:hint="eastAsia"/>
                <w:highlight w:val="none"/>
                <w:u w:val="single"/>
              </w:rPr>
            </w:pPr>
            <w:r>
              <w:rPr>
                <w:rFonts w:hint="eastAsia" w:ascii="宋体" w:hAnsi="宋体" w:cs="宋体"/>
                <w:highlight w:val="none"/>
                <w:u w:val="single"/>
                <w:lang w:val="en-US" w:eastAsia="zh-CN"/>
              </w:rPr>
              <w:t>16、</w:t>
            </w:r>
            <w:r>
              <w:rPr>
                <w:rFonts w:hint="eastAsia"/>
                <w:highlight w:val="none"/>
                <w:u w:val="single"/>
              </w:rPr>
              <w:t>本项目竣工验收合格后，承包人须将多余的甲供材料归还至发包人仓库，</w:t>
            </w:r>
            <w:r>
              <w:rPr>
                <w:rFonts w:hint="eastAsia"/>
                <w:highlight w:val="none"/>
                <w:u w:val="single"/>
                <w:lang w:val="en-US" w:eastAsia="zh-CN"/>
              </w:rPr>
              <w:t>各种口径管道零料不大于两段，</w:t>
            </w:r>
            <w:r>
              <w:rPr>
                <w:rFonts w:hint="eastAsia"/>
                <w:highlight w:val="none"/>
                <w:u w:val="single"/>
              </w:rPr>
              <w:t>所产生的费用已含在本合同价中，工程结算时不作调整。</w:t>
            </w:r>
          </w:p>
          <w:p w14:paraId="1FF388DD">
            <w:pPr>
              <w:spacing w:line="400" w:lineRule="exact"/>
              <w:ind w:firstLine="420" w:firstLineChars="200"/>
              <w:rPr>
                <w:rFonts w:hint="default" w:ascii="宋体" w:hAnsi="宋体" w:eastAsia="宋体" w:cs="宋体"/>
                <w:highlight w:val="none"/>
                <w:u w:val="single"/>
                <w:lang w:val="en-US" w:eastAsia="zh-CN"/>
              </w:rPr>
            </w:pPr>
            <w:r>
              <w:rPr>
                <w:rFonts w:hint="eastAsia" w:ascii="宋体" w:hAnsi="宋体" w:cs="宋体"/>
                <w:highlight w:val="none"/>
                <w:u w:val="single"/>
                <w:lang w:val="en-US" w:eastAsia="zh-CN"/>
              </w:rPr>
              <w:t>17、专项方案编制费、第三方监测费、</w:t>
            </w:r>
            <w:r>
              <w:rPr>
                <w:rFonts w:hint="eastAsia" w:ascii="宋体" w:hAnsi="宋体" w:cs="宋体"/>
                <w:kern w:val="0"/>
                <w:highlight w:val="none"/>
                <w:u w:val="single"/>
                <w:lang w:val="en-US" w:eastAsia="zh-CN"/>
              </w:rPr>
              <w:t>专家评审（</w:t>
            </w:r>
            <w:r>
              <w:rPr>
                <w:rFonts w:hint="eastAsia" w:ascii="宋体" w:hAnsi="宋体" w:cs="宋体"/>
                <w:b w:val="0"/>
                <w:bCs/>
                <w:highlight w:val="none"/>
                <w:u w:val="single"/>
                <w:lang w:val="en-US" w:eastAsia="zh-CN"/>
              </w:rPr>
              <w:t>含设计方案</w:t>
            </w:r>
            <w:r>
              <w:rPr>
                <w:rFonts w:hint="eastAsia" w:ascii="宋体" w:hAnsi="宋体" w:cs="宋体"/>
                <w:kern w:val="0"/>
                <w:highlight w:val="none"/>
                <w:u w:val="single"/>
                <w:lang w:val="en-US" w:eastAsia="zh-CN"/>
              </w:rPr>
              <w:t>）等涉及</w:t>
            </w:r>
            <w:r>
              <w:rPr>
                <w:rFonts w:hint="eastAsia" w:ascii="宋体" w:hAnsi="宋体" w:cs="宋体"/>
                <w:highlight w:val="none"/>
                <w:u w:val="single"/>
                <w:lang w:val="en-US" w:eastAsia="zh-CN"/>
              </w:rPr>
              <w:t>危大工程的</w:t>
            </w:r>
            <w:r>
              <w:rPr>
                <w:rFonts w:hint="eastAsia" w:ascii="宋体" w:hAnsi="宋体" w:cs="宋体"/>
                <w:kern w:val="0"/>
                <w:highlight w:val="none"/>
                <w:u w:val="single"/>
                <w:lang w:val="en-US" w:eastAsia="zh-CN"/>
              </w:rPr>
              <w:t>费用</w:t>
            </w:r>
            <w:r>
              <w:rPr>
                <w:rFonts w:hint="eastAsia" w:ascii="宋体" w:hAnsi="宋体" w:cs="宋体"/>
                <w:highlight w:val="none"/>
                <w:u w:val="single"/>
              </w:rPr>
              <w:t>包含在投标报价中，结算时不再另行增加费用。</w:t>
            </w:r>
          </w:p>
          <w:p w14:paraId="1543AA7C">
            <w:pPr>
              <w:spacing w:line="400" w:lineRule="exact"/>
              <w:ind w:firstLine="420" w:firstLineChars="200"/>
              <w:rPr>
                <w:rFonts w:hint="default"/>
                <w:highlight w:val="yellow"/>
                <w:u w:val="single"/>
                <w:lang w:val="en-US" w:eastAsia="zh-CN"/>
              </w:rPr>
            </w:pPr>
          </w:p>
        </w:tc>
      </w:tr>
    </w:tbl>
    <w:p w14:paraId="23444FB5">
      <w:pPr>
        <w:pStyle w:val="2"/>
        <w:keepNext w:val="0"/>
        <w:keepLines w:val="0"/>
        <w:rPr>
          <w:rFonts w:ascii="宋体" w:hAnsi="宋体" w:eastAsia="宋体"/>
        </w:rPr>
        <w:sectPr>
          <w:pgSz w:w="11906" w:h="16838"/>
          <w:pgMar w:top="1440" w:right="1559" w:bottom="1440" w:left="1560" w:header="851" w:footer="850" w:gutter="0"/>
          <w:cols w:space="720" w:num="1"/>
          <w:docGrid w:linePitch="312" w:charSpace="0"/>
        </w:sectPr>
      </w:pPr>
    </w:p>
    <w:p w14:paraId="79405FF8">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ascii="宋体" w:hAnsi="宋体" w:eastAsia="宋体"/>
        </w:rPr>
      </w:pPr>
      <w:bookmarkStart w:id="29" w:name="_Toc389065144"/>
      <w:bookmarkStart w:id="30" w:name="_Toc498006643"/>
      <w:r>
        <w:rPr>
          <w:rFonts w:hint="eastAsia" w:ascii="宋体" w:hAnsi="宋体" w:eastAsia="宋体" w:cs="宋体"/>
        </w:rPr>
        <w:t>投标人须知</w:t>
      </w:r>
      <w:bookmarkEnd w:id="29"/>
      <w:bookmarkEnd w:id="30"/>
    </w:p>
    <w:p w14:paraId="74DF1A3E">
      <w:pPr>
        <w:pStyle w:val="3"/>
        <w:spacing w:before="0" w:after="0" w:line="400" w:lineRule="exact"/>
        <w:rPr>
          <w:rFonts w:ascii="宋体" w:hAnsi="宋体" w:eastAsia="宋体"/>
          <w:sz w:val="21"/>
          <w:szCs w:val="21"/>
        </w:rPr>
      </w:pPr>
      <w:bookmarkStart w:id="31" w:name="_Toc389065145"/>
      <w:bookmarkStart w:id="32" w:name="_Toc498006644"/>
      <w:r>
        <w:rPr>
          <w:rFonts w:ascii="宋体" w:hAnsi="宋体" w:eastAsia="宋体" w:cs="宋体"/>
          <w:sz w:val="21"/>
          <w:szCs w:val="21"/>
        </w:rPr>
        <w:t xml:space="preserve">1 </w:t>
      </w:r>
      <w:r>
        <w:rPr>
          <w:rFonts w:hint="eastAsia" w:ascii="宋体" w:hAnsi="宋体" w:eastAsia="宋体" w:cs="宋体"/>
          <w:sz w:val="21"/>
          <w:szCs w:val="21"/>
        </w:rPr>
        <w:t>总则</w:t>
      </w:r>
      <w:bookmarkEnd w:id="31"/>
      <w:bookmarkEnd w:id="32"/>
    </w:p>
    <w:p w14:paraId="298E99C3">
      <w:pPr>
        <w:pStyle w:val="4"/>
        <w:spacing w:line="400" w:lineRule="exact"/>
        <w:rPr>
          <w:rFonts w:ascii="宋体" w:hAnsi="宋体" w:eastAsia="宋体"/>
          <w:sz w:val="21"/>
          <w:szCs w:val="21"/>
        </w:rPr>
      </w:pPr>
      <w:bookmarkStart w:id="33" w:name="_Toc498006645"/>
      <w:bookmarkStart w:id="34" w:name="_Toc389065146"/>
      <w:r>
        <w:rPr>
          <w:rFonts w:ascii="宋体" w:hAnsi="宋体" w:eastAsia="宋体" w:cs="宋体"/>
          <w:sz w:val="21"/>
          <w:szCs w:val="21"/>
        </w:rPr>
        <w:t xml:space="preserve">1.1 </w:t>
      </w:r>
      <w:r>
        <w:rPr>
          <w:rFonts w:hint="eastAsia" w:ascii="宋体" w:hAnsi="宋体" w:eastAsia="宋体" w:cs="宋体"/>
          <w:sz w:val="21"/>
          <w:szCs w:val="21"/>
        </w:rPr>
        <w:t>项目概况</w:t>
      </w:r>
      <w:bookmarkEnd w:id="33"/>
      <w:bookmarkEnd w:id="34"/>
    </w:p>
    <w:p w14:paraId="68DC5A47">
      <w:pPr>
        <w:spacing w:line="400" w:lineRule="exact"/>
        <w:ind w:firstLine="420" w:firstLineChars="200"/>
        <w:rPr>
          <w:rFonts w:ascii="宋体"/>
        </w:rPr>
      </w:pPr>
      <w:r>
        <w:rPr>
          <w:rFonts w:ascii="宋体" w:hAnsi="宋体" w:cs="宋体"/>
        </w:rPr>
        <w:t xml:space="preserve">1.1.1 </w:t>
      </w:r>
      <w:r>
        <w:rPr>
          <w:rFonts w:hint="eastAsia" w:ascii="宋体" w:hAnsi="宋体" w:cs="宋体"/>
        </w:rPr>
        <w:t>根据《中华人民共和国招标投标法》等有关法律、法规和规章的规定，本招标项目已具备招标条件，现对本标段施工进行招标。</w:t>
      </w:r>
    </w:p>
    <w:p w14:paraId="0CC1A0B4">
      <w:pPr>
        <w:spacing w:line="400" w:lineRule="exact"/>
        <w:ind w:firstLine="420" w:firstLineChars="200"/>
        <w:rPr>
          <w:rFonts w:ascii="宋体"/>
        </w:rPr>
      </w:pPr>
      <w:r>
        <w:rPr>
          <w:rFonts w:ascii="宋体" w:hAnsi="宋体" w:cs="宋体"/>
        </w:rPr>
        <w:t xml:space="preserve">1.1.2 </w:t>
      </w:r>
      <w:r>
        <w:rPr>
          <w:rFonts w:hint="eastAsia" w:ascii="宋体" w:hAnsi="宋体" w:cs="宋体"/>
        </w:rPr>
        <w:t>本招标项目招标人：见“投标人须知前附表”。</w:t>
      </w:r>
    </w:p>
    <w:p w14:paraId="0355B0AB">
      <w:pPr>
        <w:spacing w:line="400" w:lineRule="exact"/>
        <w:ind w:firstLine="420" w:firstLineChars="200"/>
        <w:rPr>
          <w:rFonts w:ascii="宋体"/>
        </w:rPr>
      </w:pPr>
      <w:r>
        <w:rPr>
          <w:rFonts w:ascii="宋体" w:hAnsi="宋体" w:cs="宋体"/>
        </w:rPr>
        <w:t xml:space="preserve">1.1.3 </w:t>
      </w:r>
      <w:r>
        <w:rPr>
          <w:rFonts w:hint="eastAsia" w:ascii="宋体" w:hAnsi="宋体" w:cs="宋体"/>
        </w:rPr>
        <w:t>本标段招标代理机构：见“投标人须知前附表”。</w:t>
      </w:r>
    </w:p>
    <w:p w14:paraId="36B98210">
      <w:pPr>
        <w:spacing w:line="400" w:lineRule="exact"/>
        <w:ind w:firstLine="420" w:firstLineChars="200"/>
        <w:rPr>
          <w:rFonts w:ascii="宋体"/>
        </w:rPr>
      </w:pPr>
      <w:r>
        <w:rPr>
          <w:rFonts w:ascii="宋体" w:hAnsi="宋体" w:cs="宋体"/>
        </w:rPr>
        <w:t xml:space="preserve">1.1.4 </w:t>
      </w:r>
      <w:r>
        <w:rPr>
          <w:rFonts w:hint="eastAsia" w:ascii="宋体" w:hAnsi="宋体" w:cs="宋体"/>
        </w:rPr>
        <w:t>本招标项目及标段名称：见“投标人须知前附表”。</w:t>
      </w:r>
    </w:p>
    <w:p w14:paraId="0816F9D2">
      <w:pPr>
        <w:spacing w:line="400" w:lineRule="exact"/>
        <w:ind w:firstLine="420" w:firstLineChars="200"/>
        <w:rPr>
          <w:rFonts w:ascii="宋体"/>
        </w:rPr>
      </w:pPr>
      <w:r>
        <w:rPr>
          <w:rFonts w:ascii="宋体" w:hAnsi="宋体" w:cs="宋体"/>
        </w:rPr>
        <w:t xml:space="preserve">1.1.5 </w:t>
      </w:r>
      <w:r>
        <w:rPr>
          <w:rFonts w:hint="eastAsia" w:ascii="宋体" w:hAnsi="宋体" w:cs="宋体"/>
        </w:rPr>
        <w:t>本标段建设地点：见“投标人须知前附表”。</w:t>
      </w:r>
    </w:p>
    <w:p w14:paraId="71CDC53D">
      <w:pPr>
        <w:pStyle w:val="4"/>
        <w:spacing w:line="400" w:lineRule="exact"/>
        <w:rPr>
          <w:rFonts w:ascii="宋体" w:hAnsi="宋体" w:eastAsia="宋体"/>
          <w:sz w:val="21"/>
          <w:szCs w:val="21"/>
        </w:rPr>
      </w:pPr>
      <w:bookmarkStart w:id="35" w:name="_Toc389065147"/>
      <w:bookmarkStart w:id="36" w:name="_Toc498006646"/>
      <w:r>
        <w:rPr>
          <w:rFonts w:ascii="宋体" w:hAnsi="宋体" w:eastAsia="宋体" w:cs="宋体"/>
          <w:sz w:val="21"/>
          <w:szCs w:val="21"/>
        </w:rPr>
        <w:t xml:space="preserve">1.2 </w:t>
      </w:r>
      <w:r>
        <w:rPr>
          <w:rFonts w:hint="eastAsia" w:ascii="宋体" w:hAnsi="宋体" w:eastAsia="宋体" w:cs="宋体"/>
          <w:sz w:val="21"/>
          <w:szCs w:val="21"/>
        </w:rPr>
        <w:t>资金来源和落实情况</w:t>
      </w:r>
      <w:bookmarkEnd w:id="35"/>
      <w:bookmarkEnd w:id="36"/>
    </w:p>
    <w:p w14:paraId="7592B9DC">
      <w:pPr>
        <w:spacing w:line="400" w:lineRule="exact"/>
        <w:ind w:firstLine="420" w:firstLineChars="200"/>
        <w:rPr>
          <w:rFonts w:ascii="宋体"/>
        </w:rPr>
      </w:pPr>
      <w:r>
        <w:rPr>
          <w:rFonts w:ascii="宋体" w:hAnsi="宋体" w:cs="宋体"/>
        </w:rPr>
        <w:t xml:space="preserve">1.2.1 </w:t>
      </w:r>
      <w:r>
        <w:rPr>
          <w:rFonts w:hint="eastAsia" w:ascii="宋体" w:hAnsi="宋体" w:cs="宋体"/>
        </w:rPr>
        <w:t>本招标项目的资金来源：见“投标人须知前附表”。</w:t>
      </w:r>
    </w:p>
    <w:p w14:paraId="275BD027">
      <w:pPr>
        <w:spacing w:line="400" w:lineRule="exact"/>
        <w:ind w:firstLine="420" w:firstLineChars="200"/>
        <w:rPr>
          <w:rFonts w:ascii="宋体"/>
        </w:rPr>
      </w:pPr>
      <w:r>
        <w:rPr>
          <w:rFonts w:ascii="宋体" w:hAnsi="宋体" w:cs="宋体"/>
        </w:rPr>
        <w:t xml:space="preserve">1.2.2 </w:t>
      </w:r>
      <w:r>
        <w:rPr>
          <w:rFonts w:hint="eastAsia" w:ascii="宋体" w:hAnsi="宋体" w:cs="宋体"/>
        </w:rPr>
        <w:t>本招标项目的出资比例：见“投标人须知前附表”。</w:t>
      </w:r>
    </w:p>
    <w:p w14:paraId="264944DC">
      <w:pPr>
        <w:spacing w:line="400" w:lineRule="exact"/>
        <w:ind w:firstLine="420" w:firstLineChars="200"/>
        <w:rPr>
          <w:rFonts w:ascii="宋体"/>
        </w:rPr>
      </w:pPr>
      <w:r>
        <w:rPr>
          <w:rFonts w:ascii="宋体" w:hAnsi="宋体" w:cs="宋体"/>
        </w:rPr>
        <w:t xml:space="preserve">1.2.3 </w:t>
      </w:r>
      <w:r>
        <w:rPr>
          <w:rFonts w:hint="eastAsia" w:ascii="宋体" w:hAnsi="宋体" w:cs="宋体"/>
        </w:rPr>
        <w:t>本招标项目的资金落实情况：见“投标人须知前附表”。</w:t>
      </w:r>
    </w:p>
    <w:p w14:paraId="16332771">
      <w:pPr>
        <w:spacing w:line="400" w:lineRule="exact"/>
        <w:ind w:firstLine="420" w:firstLineChars="200"/>
        <w:rPr>
          <w:rFonts w:ascii="宋体"/>
        </w:rPr>
      </w:pPr>
      <w:r>
        <w:rPr>
          <w:rFonts w:ascii="宋体" w:hAnsi="宋体" w:cs="宋体"/>
        </w:rPr>
        <w:t xml:space="preserve">1.2.4 </w:t>
      </w:r>
      <w:r>
        <w:rPr>
          <w:rFonts w:hint="eastAsia" w:ascii="宋体" w:hAnsi="宋体" w:cs="宋体"/>
        </w:rPr>
        <w:t>本招标项目的工程款支付方式：见“投标人须知前附表”。</w:t>
      </w:r>
    </w:p>
    <w:p w14:paraId="26479EB7">
      <w:pPr>
        <w:pStyle w:val="4"/>
        <w:spacing w:line="400" w:lineRule="exact"/>
        <w:rPr>
          <w:rFonts w:ascii="宋体" w:hAnsi="宋体" w:eastAsia="宋体"/>
          <w:sz w:val="21"/>
          <w:szCs w:val="21"/>
        </w:rPr>
      </w:pPr>
      <w:bookmarkStart w:id="37" w:name="_Toc498006647"/>
      <w:bookmarkStart w:id="38" w:name="_Toc389065148"/>
      <w:r>
        <w:rPr>
          <w:rFonts w:ascii="宋体" w:hAnsi="宋体" w:eastAsia="宋体" w:cs="宋体"/>
          <w:sz w:val="21"/>
          <w:szCs w:val="21"/>
        </w:rPr>
        <w:t xml:space="preserve">1.3 </w:t>
      </w:r>
      <w:r>
        <w:rPr>
          <w:rFonts w:hint="eastAsia" w:ascii="宋体" w:hAnsi="宋体" w:eastAsia="宋体" w:cs="宋体"/>
          <w:sz w:val="21"/>
          <w:szCs w:val="21"/>
        </w:rPr>
        <w:t>招标范围、计划工期和质量要求</w:t>
      </w:r>
      <w:bookmarkEnd w:id="37"/>
      <w:bookmarkEnd w:id="38"/>
    </w:p>
    <w:p w14:paraId="1F347892">
      <w:pPr>
        <w:spacing w:line="400" w:lineRule="exact"/>
        <w:ind w:firstLine="420" w:firstLineChars="200"/>
        <w:rPr>
          <w:rFonts w:ascii="宋体"/>
        </w:rPr>
      </w:pPr>
      <w:r>
        <w:rPr>
          <w:rFonts w:ascii="宋体" w:hAnsi="宋体" w:cs="宋体"/>
        </w:rPr>
        <w:t xml:space="preserve">1.3.1 </w:t>
      </w:r>
      <w:r>
        <w:rPr>
          <w:rFonts w:hint="eastAsia" w:ascii="宋体" w:hAnsi="宋体" w:cs="宋体"/>
        </w:rPr>
        <w:t>本招标项目招标范围：见“投标人须知前附表”。</w:t>
      </w:r>
    </w:p>
    <w:p w14:paraId="5C24453F">
      <w:pPr>
        <w:spacing w:line="400" w:lineRule="exact"/>
        <w:ind w:firstLine="420" w:firstLineChars="200"/>
        <w:rPr>
          <w:rFonts w:ascii="宋体"/>
        </w:rPr>
      </w:pPr>
      <w:r>
        <w:rPr>
          <w:rFonts w:ascii="宋体" w:hAnsi="宋体" w:cs="宋体"/>
        </w:rPr>
        <w:t xml:space="preserve">1.3.2 </w:t>
      </w:r>
      <w:r>
        <w:rPr>
          <w:rFonts w:hint="eastAsia" w:ascii="宋体" w:hAnsi="宋体" w:cs="宋体"/>
        </w:rPr>
        <w:t>本招标项目工期要求：见“投标人须知前附表”。</w:t>
      </w:r>
    </w:p>
    <w:p w14:paraId="60178EBC">
      <w:pPr>
        <w:spacing w:line="400" w:lineRule="exact"/>
        <w:ind w:firstLine="420" w:firstLineChars="200"/>
        <w:rPr>
          <w:rFonts w:ascii="宋体"/>
        </w:rPr>
      </w:pPr>
      <w:r>
        <w:rPr>
          <w:rFonts w:ascii="宋体" w:hAnsi="宋体" w:cs="宋体"/>
        </w:rPr>
        <w:t xml:space="preserve">1.3.3 </w:t>
      </w:r>
      <w:r>
        <w:rPr>
          <w:rFonts w:hint="eastAsia" w:ascii="宋体" w:hAnsi="宋体" w:cs="宋体"/>
        </w:rPr>
        <w:t>本招标项目质量要求：见“投标人须知前附表”。</w:t>
      </w:r>
    </w:p>
    <w:p w14:paraId="498791C0">
      <w:pPr>
        <w:pStyle w:val="4"/>
        <w:spacing w:line="400" w:lineRule="exact"/>
        <w:rPr>
          <w:rFonts w:ascii="宋体" w:hAnsi="宋体" w:eastAsia="宋体" w:cs="宋体"/>
          <w:sz w:val="21"/>
          <w:szCs w:val="21"/>
        </w:rPr>
      </w:pPr>
      <w:bookmarkStart w:id="39" w:name="_Toc389065149"/>
      <w:bookmarkStart w:id="40" w:name="_Toc498006648"/>
      <w:r>
        <w:rPr>
          <w:rFonts w:ascii="宋体" w:hAnsi="宋体" w:eastAsia="宋体" w:cs="宋体"/>
          <w:sz w:val="21"/>
          <w:szCs w:val="21"/>
        </w:rPr>
        <w:t xml:space="preserve">1.4 </w:t>
      </w:r>
      <w:r>
        <w:rPr>
          <w:rFonts w:hint="eastAsia" w:ascii="宋体" w:hAnsi="宋体" w:eastAsia="宋体" w:cs="宋体"/>
          <w:sz w:val="21"/>
          <w:szCs w:val="21"/>
        </w:rPr>
        <w:t>投标人资格要求</w:t>
      </w:r>
      <w:bookmarkEnd w:id="39"/>
      <w:bookmarkEnd w:id="40"/>
    </w:p>
    <w:p w14:paraId="2BF43E58">
      <w:pPr>
        <w:spacing w:line="400" w:lineRule="exact"/>
        <w:ind w:firstLine="420" w:firstLineChars="200"/>
        <w:rPr>
          <w:rFonts w:ascii="宋体"/>
        </w:rPr>
      </w:pPr>
      <w:r>
        <w:rPr>
          <w:rFonts w:ascii="宋体" w:hAnsi="宋体" w:cs="宋体"/>
        </w:rPr>
        <w:t xml:space="preserve">1.4.1 </w:t>
      </w:r>
      <w:r>
        <w:rPr>
          <w:rFonts w:hint="eastAsia" w:ascii="宋体" w:hAnsi="宋体" w:cs="宋体"/>
        </w:rPr>
        <w:t>投标人应具备承担本项目施工的资格要求，见“招标公告”。</w:t>
      </w:r>
    </w:p>
    <w:p w14:paraId="642985CA">
      <w:pPr>
        <w:spacing w:line="400" w:lineRule="exact"/>
        <w:ind w:firstLine="420" w:firstLineChars="200"/>
        <w:rPr>
          <w:rFonts w:ascii="宋体"/>
        </w:rPr>
      </w:pPr>
      <w:r>
        <w:rPr>
          <w:rFonts w:ascii="宋体" w:hAnsi="宋体" w:cs="宋体"/>
        </w:rPr>
        <w:t xml:space="preserve">1.4.2 </w:t>
      </w:r>
      <w:r>
        <w:rPr>
          <w:rFonts w:hint="eastAsia" w:ascii="宋体" w:hAnsi="宋体" w:cs="宋体"/>
        </w:rPr>
        <w:t>“投标人须知前附表”规定接受联合体投标的，除应符合本章第</w:t>
      </w:r>
      <w:r>
        <w:rPr>
          <w:rFonts w:ascii="宋体" w:hAnsi="宋体" w:cs="宋体"/>
        </w:rPr>
        <w:t>1.4.1</w:t>
      </w:r>
      <w:r>
        <w:rPr>
          <w:rFonts w:hint="eastAsia" w:ascii="宋体" w:hAnsi="宋体" w:cs="宋体"/>
        </w:rPr>
        <w:t>项和“投标人须知前附表”的要求外，还应遵守以下规定：</w:t>
      </w:r>
    </w:p>
    <w:p w14:paraId="277F8967">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）联合体各方应按招标文件提供的格式签订联合体协议书，明确联合体牵头人和各方权利义务；</w:t>
      </w:r>
    </w:p>
    <w:p w14:paraId="7AC1C7B2">
      <w:pPr>
        <w:spacing w:line="400" w:lineRule="exact"/>
        <w:ind w:firstLine="420" w:firstLineChars="200"/>
        <w:rPr>
          <w:rFonts w:ascii="宋体"/>
        </w:rPr>
      </w:pPr>
      <w:r>
        <w:rPr>
          <w:rFonts w:hint="eastAsia" w:ascii="宋体" w:hAnsi="宋体" w:cs="宋体"/>
        </w:rPr>
        <w:t>（</w:t>
      </w:r>
      <w:r>
        <w:rPr>
          <w:rFonts w:ascii="宋体" w:hAnsi="宋体" w:cs="宋体"/>
        </w:rPr>
        <w:t>2</w:t>
      </w:r>
      <w:r>
        <w:rPr>
          <w:rFonts w:hint="eastAsia" w:ascii="宋体" w:hAnsi="宋体" w:cs="宋体"/>
        </w:rPr>
        <w:t>）联合体各成员单位应当具备与联合体协议中约定的分工相适应的施工资质和施工能力；</w:t>
      </w:r>
    </w:p>
    <w:p w14:paraId="7BCC1777">
      <w:pPr>
        <w:spacing w:line="400" w:lineRule="exact"/>
        <w:ind w:firstLine="420" w:firstLineChars="200"/>
        <w:rPr>
          <w:rFonts w:ascii="宋体"/>
        </w:rPr>
      </w:pPr>
      <w:r>
        <w:rPr>
          <w:rFonts w:hint="eastAsia" w:ascii="宋体" w:hAnsi="宋体" w:cs="宋体"/>
        </w:rPr>
        <w:t>（</w:t>
      </w:r>
      <w:r>
        <w:rPr>
          <w:rFonts w:ascii="宋体" w:hAnsi="宋体" w:cs="宋体"/>
        </w:rPr>
        <w:t>3</w:t>
      </w:r>
      <w:r>
        <w:rPr>
          <w:rFonts w:hint="eastAsia" w:ascii="宋体" w:hAnsi="宋体" w:cs="宋体"/>
        </w:rPr>
        <w:t>）联合体各方不得再以自己名义单独或参加其他联合体在同一标段中投标；</w:t>
      </w:r>
    </w:p>
    <w:p w14:paraId="133E4144">
      <w:pPr>
        <w:spacing w:line="400" w:lineRule="exact"/>
        <w:ind w:firstLine="420" w:firstLineChars="200"/>
        <w:rPr>
          <w:rFonts w:ascii="宋体"/>
        </w:rPr>
      </w:pPr>
      <w:r>
        <w:rPr>
          <w:rFonts w:hint="eastAsia" w:ascii="宋体" w:hAnsi="宋体" w:cs="宋体"/>
        </w:rPr>
        <w:t>（</w:t>
      </w:r>
      <w:r>
        <w:rPr>
          <w:rFonts w:ascii="宋体" w:hAnsi="宋体" w:cs="宋体"/>
        </w:rPr>
        <w:t>4</w:t>
      </w:r>
      <w:r>
        <w:rPr>
          <w:rFonts w:hint="eastAsia" w:ascii="宋体" w:hAnsi="宋体" w:cs="宋体"/>
        </w:rPr>
        <w:t>）联合体各方必须指定牵头人，授权其代表所有联合体成员负责投标和合同实施阶段的主办、协调工作，并应当向招标人提交由所有联合体成员法定代表人签署的授权书；</w:t>
      </w:r>
    </w:p>
    <w:p w14:paraId="0E39A61A">
      <w:pPr>
        <w:spacing w:line="400" w:lineRule="exact"/>
        <w:ind w:firstLine="420" w:firstLineChars="200"/>
        <w:rPr>
          <w:rFonts w:ascii="宋体"/>
        </w:rPr>
      </w:pPr>
      <w:r>
        <w:rPr>
          <w:rFonts w:hint="eastAsia" w:ascii="宋体" w:hAnsi="宋体" w:cs="宋体"/>
        </w:rPr>
        <w:t>（</w:t>
      </w:r>
      <w:r>
        <w:rPr>
          <w:rFonts w:ascii="宋体" w:hAnsi="宋体" w:cs="宋体"/>
        </w:rPr>
        <w:t>5</w:t>
      </w:r>
      <w:r>
        <w:rPr>
          <w:rFonts w:hint="eastAsia" w:ascii="宋体" w:hAnsi="宋体" w:cs="宋体"/>
        </w:rPr>
        <w:t>）招标人要求投标人提交投标保证担保的，应当以联合体各方或者联合体中牵头人的名义提交投标保证担保。以联合体中牵头人名义提交的投标保证担保，对联合体各成员具有约束力。</w:t>
      </w:r>
    </w:p>
    <w:p w14:paraId="4451C761">
      <w:pPr>
        <w:spacing w:line="400" w:lineRule="exact"/>
        <w:ind w:firstLine="420" w:firstLineChars="200"/>
        <w:rPr>
          <w:rFonts w:ascii="宋体"/>
        </w:rPr>
      </w:pPr>
      <w:r>
        <w:rPr>
          <w:rFonts w:ascii="宋体" w:hAnsi="宋体" w:cs="宋体"/>
        </w:rPr>
        <w:t xml:space="preserve">1.4.3 </w:t>
      </w:r>
      <w:r>
        <w:rPr>
          <w:rFonts w:hint="eastAsia" w:ascii="宋体" w:hAnsi="宋体" w:cs="宋体"/>
        </w:rPr>
        <w:t>投标人不得存在下列情形之一：</w:t>
      </w:r>
    </w:p>
    <w:p w14:paraId="72037E33">
      <w:pPr>
        <w:spacing w:line="400" w:lineRule="exact"/>
        <w:ind w:firstLine="420" w:firstLineChars="200"/>
        <w:rPr>
          <w:rFonts w:ascii="宋体"/>
        </w:rPr>
      </w:pPr>
      <w:bookmarkStart w:id="41" w:name="_Toc498006649"/>
      <w:bookmarkStart w:id="42" w:name="_Toc389065150"/>
      <w:r>
        <w:rPr>
          <w:rFonts w:hint="eastAsia" w:ascii="宋体" w:hAnsi="宋体" w:cs="宋体"/>
        </w:rPr>
        <w:t>（</w:t>
      </w:r>
      <w:r>
        <w:rPr>
          <w:rFonts w:ascii="宋体" w:hAnsi="宋体" w:cs="宋体"/>
        </w:rPr>
        <w:t>1</w:t>
      </w:r>
      <w:r>
        <w:rPr>
          <w:rFonts w:hint="eastAsia" w:ascii="宋体" w:hAnsi="宋体" w:cs="宋体"/>
        </w:rPr>
        <w:t>）为招标人不具有独立法人资格的附属机构（单位）；</w:t>
      </w:r>
    </w:p>
    <w:p w14:paraId="0C936CCE">
      <w:pPr>
        <w:spacing w:line="400" w:lineRule="exact"/>
        <w:ind w:firstLine="420" w:firstLineChars="200"/>
        <w:rPr>
          <w:rFonts w:ascii="宋体"/>
        </w:rPr>
      </w:pPr>
      <w:r>
        <w:rPr>
          <w:rFonts w:hint="eastAsia" w:ascii="宋体" w:hAnsi="宋体" w:cs="宋体"/>
        </w:rPr>
        <w:t>（</w:t>
      </w:r>
      <w:r>
        <w:rPr>
          <w:rFonts w:ascii="宋体" w:hAnsi="宋体" w:cs="宋体"/>
        </w:rPr>
        <w:t>2</w:t>
      </w:r>
      <w:r>
        <w:rPr>
          <w:rFonts w:hint="eastAsia" w:ascii="宋体" w:hAnsi="宋体" w:cs="宋体"/>
        </w:rPr>
        <w:t>）为本招标项目的监理人、代建人、项目管理人，以及为本招标项目提供招标代理、设计服务的；</w:t>
      </w:r>
    </w:p>
    <w:p w14:paraId="5E8E4BEF">
      <w:pPr>
        <w:spacing w:line="400" w:lineRule="exact"/>
        <w:ind w:firstLine="420" w:firstLineChars="200"/>
        <w:rPr>
          <w:rFonts w:ascii="宋体"/>
        </w:rPr>
      </w:pPr>
      <w:r>
        <w:rPr>
          <w:rFonts w:hint="eastAsia" w:ascii="宋体" w:hAnsi="宋体" w:cs="宋体"/>
        </w:rPr>
        <w:t>（</w:t>
      </w:r>
      <w:r>
        <w:rPr>
          <w:rFonts w:ascii="宋体" w:hAnsi="宋体" w:cs="宋体"/>
        </w:rPr>
        <w:t>3</w:t>
      </w:r>
      <w:r>
        <w:rPr>
          <w:rFonts w:hint="eastAsia" w:ascii="宋体" w:hAnsi="宋体" w:cs="宋体"/>
        </w:rPr>
        <w:t>）与本招标项目的监理人、代建人、招标代理机构同为一个法定代表人的，或者相互控股、参股的；</w:t>
      </w:r>
    </w:p>
    <w:p w14:paraId="467FD3DE">
      <w:pPr>
        <w:spacing w:line="400" w:lineRule="exact"/>
        <w:ind w:firstLine="420" w:firstLineChars="200"/>
        <w:rPr>
          <w:rFonts w:ascii="宋体"/>
        </w:rPr>
      </w:pPr>
      <w:r>
        <w:rPr>
          <w:rFonts w:hint="eastAsia" w:ascii="宋体" w:hAnsi="宋体" w:cs="宋体"/>
        </w:rPr>
        <w:t>（</w:t>
      </w:r>
      <w:r>
        <w:rPr>
          <w:rFonts w:ascii="宋体" w:hAnsi="宋体" w:cs="宋体"/>
        </w:rPr>
        <w:t>4</w:t>
      </w:r>
      <w:r>
        <w:rPr>
          <w:rFonts w:hint="eastAsia" w:ascii="宋体" w:hAnsi="宋体" w:cs="宋体"/>
        </w:rPr>
        <w:t>）与招标人存在利害关系可能影响招标公正性的；</w:t>
      </w:r>
    </w:p>
    <w:p w14:paraId="7DBA30A7">
      <w:pPr>
        <w:spacing w:line="400" w:lineRule="exact"/>
        <w:ind w:firstLine="420" w:firstLineChars="200"/>
        <w:rPr>
          <w:rFonts w:ascii="宋体"/>
          <w:highlight w:val="none"/>
        </w:rPr>
      </w:pPr>
      <w:r>
        <w:rPr>
          <w:rFonts w:hint="eastAsia" w:ascii="宋体" w:hAnsi="宋体" w:cs="宋体"/>
        </w:rPr>
        <w:t>（</w:t>
      </w:r>
      <w:r>
        <w:rPr>
          <w:rFonts w:ascii="宋体" w:hAnsi="宋体" w:cs="宋体"/>
        </w:rPr>
        <w:t>5</w:t>
      </w:r>
      <w:r>
        <w:rPr>
          <w:rFonts w:hint="eastAsia" w:ascii="宋体" w:hAnsi="宋体" w:cs="宋体"/>
        </w:rPr>
        <w:t>）单位</w:t>
      </w:r>
      <w:r>
        <w:rPr>
          <w:rFonts w:hint="eastAsia" w:ascii="宋体" w:hAnsi="宋体" w:cs="宋体"/>
          <w:highlight w:val="none"/>
        </w:rPr>
        <w:t>负责人为同一人或者存在控股、管理关系的不同单位；</w:t>
      </w:r>
    </w:p>
    <w:p w14:paraId="4CC7BF75">
      <w:pPr>
        <w:adjustRightInd w:val="0"/>
        <w:snapToGrid w:val="0"/>
        <w:spacing w:line="400" w:lineRule="exact"/>
        <w:ind w:firstLine="424" w:firstLineChars="202"/>
        <w:rPr>
          <w:rFonts w:ascii="宋体"/>
          <w:highlight w:val="none"/>
        </w:rPr>
      </w:pPr>
      <w:r>
        <w:rPr>
          <w:rFonts w:hint="eastAsia" w:ascii="宋体" w:hAnsi="宋体" w:cs="宋体"/>
          <w:highlight w:val="none"/>
        </w:rPr>
        <w:t>（</w:t>
      </w:r>
      <w:r>
        <w:rPr>
          <w:rFonts w:ascii="宋体" w:hAnsi="宋体" w:cs="宋体"/>
          <w:highlight w:val="none"/>
        </w:rPr>
        <w:t>6</w:t>
      </w:r>
      <w:r>
        <w:rPr>
          <w:rFonts w:hint="eastAsia" w:ascii="宋体" w:hAnsi="宋体" w:cs="宋体"/>
          <w:highlight w:val="none"/>
        </w:rPr>
        <w:t>）自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日以来，企业和拟派项目负责人因串通投标、弄虚作假、以他人名义投标、骗取中标、转包、违法分包等违法行为受到建设等有关部门行政处罚的；</w:t>
      </w:r>
    </w:p>
    <w:p w14:paraId="298602E1">
      <w:pPr>
        <w:adjustRightInd w:val="0"/>
        <w:snapToGrid w:val="0"/>
        <w:spacing w:line="400" w:lineRule="exact"/>
        <w:ind w:firstLine="422" w:firstLineChars="201"/>
        <w:rPr>
          <w:rFonts w:ascii="宋体"/>
          <w:highlight w:val="none"/>
        </w:rPr>
      </w:pPr>
      <w:r>
        <w:rPr>
          <w:rFonts w:hint="eastAsia" w:ascii="宋体" w:hAnsi="宋体" w:cs="宋体"/>
          <w:highlight w:val="none"/>
        </w:rPr>
        <w:t>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日以来，企业无正当理由放弃中标资格（不含项目负责人多投多中后放弃）、不与招标人订立合同、拒不提供履约担保情形的；</w:t>
      </w:r>
    </w:p>
    <w:p w14:paraId="179FDBC5">
      <w:pPr>
        <w:adjustRightInd w:val="0"/>
        <w:snapToGrid w:val="0"/>
        <w:spacing w:line="400" w:lineRule="exact"/>
        <w:ind w:firstLine="422" w:firstLineChars="201"/>
        <w:rPr>
          <w:rFonts w:ascii="宋体"/>
          <w:highlight w:val="none"/>
        </w:rPr>
      </w:pPr>
      <w:r>
        <w:rPr>
          <w:rFonts w:hint="eastAsia" w:ascii="宋体" w:hAnsi="宋体" w:cs="宋体"/>
          <w:highlight w:val="none"/>
        </w:rPr>
        <w:t>自</w:t>
      </w:r>
      <w:r>
        <w:rPr>
          <w:rFonts w:ascii="宋体" w:hAnsi="宋体" w:cs="宋体"/>
          <w:highlight w:val="none"/>
          <w:u w:val="single"/>
        </w:rPr>
        <w:t xml:space="preserve"> 20</w:t>
      </w:r>
      <w:r>
        <w:rPr>
          <w:rFonts w:hint="eastAsia" w:ascii="宋体" w:hAnsi="宋体" w:cs="宋体"/>
          <w:highlight w:val="none"/>
          <w:u w:val="single"/>
        </w:rPr>
        <w:t>21</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w:t>
      </w:r>
      <w:r>
        <w:rPr>
          <w:rFonts w:ascii="宋体" w:hAnsi="宋体" w:cs="宋体"/>
          <w:highlight w:val="none"/>
          <w:u w:val="single"/>
        </w:rPr>
        <w:t xml:space="preserve"> 1 </w:t>
      </w:r>
      <w:r>
        <w:rPr>
          <w:rFonts w:hint="eastAsia" w:ascii="宋体" w:hAnsi="宋体" w:cs="宋体"/>
          <w:highlight w:val="none"/>
        </w:rPr>
        <w:t>日以来，企业因拖欠工人工资被招标项目所在地省、市、县（市、区）建设行政主管部门通报批评的；</w:t>
      </w:r>
    </w:p>
    <w:p w14:paraId="20C9D6B4">
      <w:pPr>
        <w:adjustRightInd w:val="0"/>
        <w:snapToGrid w:val="0"/>
        <w:spacing w:line="400" w:lineRule="exact"/>
        <w:ind w:firstLine="422" w:firstLineChars="201"/>
        <w:rPr>
          <w:rFonts w:ascii="宋体"/>
        </w:rPr>
      </w:pPr>
      <w:r>
        <w:rPr>
          <w:rFonts w:hint="eastAsia" w:ascii="宋体" w:hAnsi="宋体" w:cs="宋体"/>
        </w:rPr>
        <w:t>被最高人民法院在“信用中国”网站或各级信用信息共享平台中列入失信被执行人名单的，在全国企业信用信息公示系统中被列入严重违法失信企业名单的。</w:t>
      </w:r>
    </w:p>
    <w:p w14:paraId="54DC63B3">
      <w:pPr>
        <w:spacing w:line="400" w:lineRule="exact"/>
        <w:ind w:firstLine="420" w:firstLineChars="200"/>
        <w:rPr>
          <w:rFonts w:ascii="宋体"/>
        </w:rPr>
      </w:pPr>
      <w:r>
        <w:rPr>
          <w:rFonts w:hint="eastAsia" w:ascii="宋体" w:hAnsi="宋体" w:cs="宋体"/>
        </w:rPr>
        <w:t>（</w:t>
      </w:r>
      <w:r>
        <w:rPr>
          <w:rFonts w:ascii="宋体" w:hAnsi="宋体" w:cs="宋体"/>
        </w:rPr>
        <w:t>7</w:t>
      </w:r>
      <w:r>
        <w:rPr>
          <w:rFonts w:hint="eastAsia" w:ascii="宋体" w:hAnsi="宋体" w:cs="宋体"/>
        </w:rPr>
        <w:t>）投标人近</w:t>
      </w:r>
      <w:r>
        <w:rPr>
          <w:rFonts w:ascii="宋体" w:hAnsi="宋体" w:cs="宋体"/>
        </w:rPr>
        <w:t>3</w:t>
      </w:r>
      <w:r>
        <w:rPr>
          <w:rFonts w:hint="eastAsia" w:ascii="宋体" w:hAnsi="宋体" w:cs="宋体"/>
        </w:rPr>
        <w:t>年内有行贿犯罪行为且被记录，或者法定代表人有行贿犯罪记录且自记录之日起未超过</w:t>
      </w:r>
      <w:r>
        <w:rPr>
          <w:rFonts w:ascii="宋体" w:hAnsi="宋体" w:cs="宋体"/>
        </w:rPr>
        <w:t>5</w:t>
      </w:r>
      <w:r>
        <w:rPr>
          <w:rFonts w:hint="eastAsia" w:ascii="宋体" w:hAnsi="宋体" w:cs="宋体"/>
        </w:rPr>
        <w:t>年的。</w:t>
      </w:r>
    </w:p>
    <w:p w14:paraId="44F50DF3">
      <w:pPr>
        <w:pStyle w:val="4"/>
        <w:spacing w:line="400" w:lineRule="exact"/>
        <w:rPr>
          <w:rFonts w:ascii="宋体" w:hAnsi="宋体" w:eastAsia="宋体"/>
          <w:sz w:val="21"/>
          <w:szCs w:val="21"/>
        </w:rPr>
      </w:pPr>
      <w:r>
        <w:rPr>
          <w:rFonts w:ascii="宋体" w:hAnsi="宋体" w:eastAsia="宋体" w:cs="宋体"/>
          <w:sz w:val="21"/>
          <w:szCs w:val="21"/>
        </w:rPr>
        <w:t xml:space="preserve">1.5 </w:t>
      </w:r>
      <w:r>
        <w:rPr>
          <w:rFonts w:hint="eastAsia" w:ascii="宋体" w:hAnsi="宋体" w:eastAsia="宋体" w:cs="宋体"/>
          <w:sz w:val="21"/>
          <w:szCs w:val="21"/>
        </w:rPr>
        <w:t>费用承担</w:t>
      </w:r>
      <w:bookmarkEnd w:id="41"/>
      <w:bookmarkEnd w:id="42"/>
    </w:p>
    <w:p w14:paraId="1001C1A1">
      <w:pPr>
        <w:spacing w:line="400" w:lineRule="exact"/>
        <w:ind w:firstLine="420" w:firstLineChars="200"/>
        <w:rPr>
          <w:rFonts w:ascii="宋体"/>
        </w:rPr>
      </w:pPr>
      <w:r>
        <w:rPr>
          <w:rFonts w:hint="eastAsia" w:ascii="宋体" w:hAnsi="宋体" w:cs="宋体"/>
        </w:rPr>
        <w:t>投标人准备和参加投标活动发生的费用自理。</w:t>
      </w:r>
    </w:p>
    <w:p w14:paraId="01631B43">
      <w:pPr>
        <w:pStyle w:val="4"/>
        <w:spacing w:line="400" w:lineRule="exact"/>
        <w:rPr>
          <w:rFonts w:ascii="宋体" w:hAnsi="宋体" w:eastAsia="宋体"/>
          <w:sz w:val="21"/>
          <w:szCs w:val="21"/>
        </w:rPr>
      </w:pPr>
      <w:bookmarkStart w:id="43" w:name="_Toc498006650"/>
      <w:bookmarkStart w:id="44" w:name="_Toc389065151"/>
      <w:r>
        <w:rPr>
          <w:rFonts w:ascii="宋体" w:hAnsi="宋体" w:eastAsia="宋体" w:cs="宋体"/>
          <w:sz w:val="21"/>
          <w:szCs w:val="21"/>
        </w:rPr>
        <w:t xml:space="preserve">1.6 </w:t>
      </w:r>
      <w:r>
        <w:rPr>
          <w:rFonts w:hint="eastAsia" w:ascii="宋体" w:hAnsi="宋体" w:eastAsia="宋体" w:cs="宋体"/>
          <w:sz w:val="21"/>
          <w:szCs w:val="21"/>
        </w:rPr>
        <w:t>保密</w:t>
      </w:r>
      <w:bookmarkEnd w:id="43"/>
      <w:bookmarkEnd w:id="44"/>
    </w:p>
    <w:p w14:paraId="65A3A025">
      <w:pPr>
        <w:spacing w:line="400" w:lineRule="exact"/>
        <w:ind w:firstLine="420" w:firstLineChars="200"/>
        <w:rPr>
          <w:rFonts w:ascii="宋体"/>
        </w:rPr>
      </w:pPr>
      <w:r>
        <w:rPr>
          <w:rFonts w:hint="eastAsia" w:ascii="宋体" w:hAnsi="宋体" w:cs="宋体"/>
        </w:rPr>
        <w:t>参与招标投标活动的各方应对招标文件和投标文件中的商业和技术等秘密保密，违者应对由此造成的后果承担法律责任。</w:t>
      </w:r>
    </w:p>
    <w:p w14:paraId="2554AAF2">
      <w:pPr>
        <w:pStyle w:val="4"/>
        <w:spacing w:line="400" w:lineRule="exact"/>
        <w:rPr>
          <w:rFonts w:ascii="宋体" w:hAnsi="宋体" w:eastAsia="宋体"/>
          <w:sz w:val="21"/>
          <w:szCs w:val="21"/>
        </w:rPr>
      </w:pPr>
      <w:bookmarkStart w:id="45" w:name="_Toc389065152"/>
      <w:bookmarkStart w:id="46" w:name="_Toc498006651"/>
      <w:r>
        <w:rPr>
          <w:rFonts w:ascii="宋体" w:hAnsi="宋体" w:eastAsia="宋体" w:cs="宋体"/>
          <w:sz w:val="21"/>
          <w:szCs w:val="21"/>
        </w:rPr>
        <w:t xml:space="preserve">1.7 </w:t>
      </w:r>
      <w:r>
        <w:rPr>
          <w:rFonts w:hint="eastAsia" w:ascii="宋体" w:hAnsi="宋体" w:eastAsia="宋体" w:cs="宋体"/>
          <w:sz w:val="21"/>
          <w:szCs w:val="21"/>
        </w:rPr>
        <w:t>语言文字</w:t>
      </w:r>
      <w:bookmarkEnd w:id="45"/>
      <w:bookmarkEnd w:id="46"/>
    </w:p>
    <w:p w14:paraId="0FA69E6F">
      <w:pPr>
        <w:spacing w:line="400" w:lineRule="exact"/>
        <w:ind w:firstLine="420" w:firstLineChars="200"/>
        <w:rPr>
          <w:rFonts w:ascii="宋体"/>
        </w:rPr>
      </w:pPr>
      <w:r>
        <w:rPr>
          <w:rFonts w:hint="eastAsia" w:ascii="宋体" w:hAnsi="宋体" w:cs="宋体"/>
        </w:rPr>
        <w:t>除专用术语外，与招标投标有关的语言均使用中文，必要时专用术语应附有中文注释。</w:t>
      </w:r>
    </w:p>
    <w:p w14:paraId="7430826F">
      <w:pPr>
        <w:pStyle w:val="4"/>
        <w:spacing w:line="400" w:lineRule="exact"/>
        <w:rPr>
          <w:rFonts w:ascii="宋体" w:hAnsi="宋体" w:eastAsia="宋体" w:cs="宋体"/>
          <w:sz w:val="21"/>
          <w:szCs w:val="21"/>
        </w:rPr>
      </w:pPr>
      <w:bookmarkStart w:id="47" w:name="_Toc498006652"/>
      <w:bookmarkStart w:id="48" w:name="_Toc389065153"/>
      <w:r>
        <w:rPr>
          <w:rFonts w:ascii="宋体" w:hAnsi="宋体" w:eastAsia="宋体" w:cs="宋体"/>
          <w:sz w:val="21"/>
          <w:szCs w:val="21"/>
        </w:rPr>
        <w:t xml:space="preserve">1.8 </w:t>
      </w:r>
      <w:r>
        <w:rPr>
          <w:rFonts w:hint="eastAsia" w:ascii="宋体" w:hAnsi="宋体" w:eastAsia="宋体" w:cs="宋体"/>
          <w:sz w:val="21"/>
          <w:szCs w:val="21"/>
        </w:rPr>
        <w:t>计量单位</w:t>
      </w:r>
      <w:bookmarkEnd w:id="47"/>
      <w:bookmarkEnd w:id="48"/>
    </w:p>
    <w:p w14:paraId="4633993C">
      <w:pPr>
        <w:spacing w:line="400" w:lineRule="exact"/>
        <w:ind w:firstLine="420" w:firstLineChars="200"/>
        <w:rPr>
          <w:rFonts w:ascii="宋体"/>
        </w:rPr>
      </w:pPr>
      <w:r>
        <w:rPr>
          <w:rFonts w:hint="eastAsia" w:ascii="宋体" w:hAnsi="宋体" w:cs="宋体"/>
        </w:rPr>
        <w:t>所有计量均采用中华人民共和国法定计量单位。</w:t>
      </w:r>
    </w:p>
    <w:p w14:paraId="5790D87D">
      <w:pPr>
        <w:pStyle w:val="4"/>
        <w:spacing w:line="400" w:lineRule="exact"/>
        <w:rPr>
          <w:rFonts w:ascii="宋体" w:hAnsi="宋体" w:eastAsia="宋体" w:cs="宋体"/>
          <w:sz w:val="21"/>
          <w:szCs w:val="21"/>
        </w:rPr>
      </w:pPr>
      <w:bookmarkStart w:id="49" w:name="_Toc389065154"/>
      <w:bookmarkStart w:id="50" w:name="_Toc498006653"/>
      <w:r>
        <w:rPr>
          <w:rFonts w:ascii="宋体" w:hAnsi="宋体" w:eastAsia="宋体" w:cs="宋体"/>
          <w:sz w:val="21"/>
          <w:szCs w:val="21"/>
        </w:rPr>
        <w:t xml:space="preserve">1.9 </w:t>
      </w:r>
      <w:r>
        <w:rPr>
          <w:rFonts w:hint="eastAsia" w:ascii="宋体" w:hAnsi="宋体" w:eastAsia="宋体" w:cs="宋体"/>
          <w:sz w:val="21"/>
          <w:szCs w:val="21"/>
        </w:rPr>
        <w:t>踏勘现场</w:t>
      </w:r>
      <w:bookmarkEnd w:id="49"/>
      <w:bookmarkEnd w:id="50"/>
    </w:p>
    <w:p w14:paraId="24DC3610">
      <w:pPr>
        <w:spacing w:line="400" w:lineRule="exact"/>
        <w:ind w:firstLine="420" w:firstLineChars="200"/>
        <w:rPr>
          <w:rFonts w:ascii="宋体"/>
        </w:rPr>
      </w:pPr>
      <w:r>
        <w:rPr>
          <w:rFonts w:ascii="宋体" w:hAnsi="宋体" w:cs="宋体"/>
        </w:rPr>
        <w:t xml:space="preserve">1.9.1 </w:t>
      </w:r>
      <w:r>
        <w:rPr>
          <w:rFonts w:hint="eastAsia" w:ascii="宋体" w:hAnsi="宋体" w:cs="宋体"/>
        </w:rPr>
        <w:t>投标人根据需要自行踏勘项目现场。</w:t>
      </w:r>
    </w:p>
    <w:p w14:paraId="64078C29">
      <w:pPr>
        <w:spacing w:line="400" w:lineRule="exact"/>
        <w:ind w:firstLine="420" w:firstLineChars="200"/>
        <w:rPr>
          <w:rFonts w:ascii="宋体"/>
        </w:rPr>
      </w:pPr>
      <w:r>
        <w:rPr>
          <w:rFonts w:ascii="宋体" w:hAnsi="宋体" w:cs="宋体"/>
        </w:rPr>
        <w:t xml:space="preserve">1.9.2 </w:t>
      </w:r>
      <w:r>
        <w:rPr>
          <w:rFonts w:hint="eastAsia" w:ascii="宋体" w:hAnsi="宋体" w:cs="宋体"/>
        </w:rPr>
        <w:t>投标人踏勘现场发生的费用自理。</w:t>
      </w:r>
    </w:p>
    <w:p w14:paraId="53507152">
      <w:pPr>
        <w:spacing w:line="400" w:lineRule="exact"/>
        <w:ind w:firstLine="420" w:firstLineChars="200"/>
        <w:rPr>
          <w:rFonts w:ascii="宋体"/>
        </w:rPr>
      </w:pPr>
      <w:r>
        <w:rPr>
          <w:rFonts w:ascii="宋体" w:hAnsi="宋体" w:cs="宋体"/>
        </w:rPr>
        <w:t xml:space="preserve">1.9.3 </w:t>
      </w:r>
      <w:r>
        <w:rPr>
          <w:rFonts w:hint="eastAsia" w:ascii="宋体" w:hAnsi="宋体" w:cs="宋体"/>
        </w:rPr>
        <w:t>投标人自行负责在踏勘现场中所发生的人员伤亡和财产损失。</w:t>
      </w:r>
    </w:p>
    <w:p w14:paraId="2F388E20">
      <w:pPr>
        <w:pStyle w:val="4"/>
        <w:spacing w:line="400" w:lineRule="exact"/>
        <w:rPr>
          <w:rFonts w:ascii="宋体" w:hAnsi="宋体" w:eastAsia="宋体" w:cs="宋体"/>
          <w:sz w:val="21"/>
          <w:szCs w:val="21"/>
        </w:rPr>
      </w:pPr>
      <w:bookmarkStart w:id="51" w:name="_Toc389065156"/>
      <w:bookmarkStart w:id="52" w:name="_Toc498006654"/>
      <w:r>
        <w:rPr>
          <w:rFonts w:ascii="宋体" w:hAnsi="宋体" w:eastAsia="宋体" w:cs="宋体"/>
          <w:sz w:val="21"/>
          <w:szCs w:val="21"/>
        </w:rPr>
        <w:t>1.10</w:t>
      </w:r>
      <w:r>
        <w:rPr>
          <w:rFonts w:hint="eastAsia" w:ascii="宋体" w:hAnsi="宋体" w:eastAsia="宋体" w:cs="宋体"/>
          <w:sz w:val="21"/>
          <w:szCs w:val="21"/>
        </w:rPr>
        <w:t>分包</w:t>
      </w:r>
      <w:bookmarkEnd w:id="51"/>
      <w:bookmarkEnd w:id="52"/>
    </w:p>
    <w:p w14:paraId="57753BEA">
      <w:pPr>
        <w:spacing w:line="400" w:lineRule="exact"/>
        <w:ind w:firstLine="420" w:firstLineChars="200"/>
        <w:rPr>
          <w:rFonts w:ascii="宋体"/>
        </w:rPr>
      </w:pPr>
      <w:r>
        <w:rPr>
          <w:rFonts w:hint="eastAsia" w:ascii="宋体" w:hAnsi="宋体" w:cs="宋体"/>
        </w:rPr>
        <w:t>投标人拟在中标后将中标项目的部分非主体、非关键性工作进行分包的，应符合“投标人须知前附表”规定的分包内容、分包金额和接受分包的第三人资质要求等限制性条件。</w:t>
      </w:r>
    </w:p>
    <w:p w14:paraId="5143FB83">
      <w:pPr>
        <w:pStyle w:val="4"/>
        <w:spacing w:line="400" w:lineRule="exact"/>
        <w:rPr>
          <w:rFonts w:ascii="宋体" w:hAnsi="宋体" w:eastAsia="宋体" w:cs="宋体"/>
          <w:sz w:val="21"/>
          <w:szCs w:val="21"/>
        </w:rPr>
      </w:pPr>
      <w:bookmarkStart w:id="53" w:name="_Toc389065157"/>
      <w:bookmarkStart w:id="54" w:name="_Toc498006655"/>
      <w:r>
        <w:rPr>
          <w:rFonts w:ascii="宋体" w:hAnsi="宋体" w:eastAsia="宋体" w:cs="宋体"/>
          <w:sz w:val="21"/>
          <w:szCs w:val="21"/>
        </w:rPr>
        <w:t xml:space="preserve">1.11 </w:t>
      </w:r>
      <w:r>
        <w:rPr>
          <w:rFonts w:hint="eastAsia" w:ascii="宋体" w:hAnsi="宋体" w:eastAsia="宋体" w:cs="宋体"/>
          <w:sz w:val="21"/>
          <w:szCs w:val="21"/>
        </w:rPr>
        <w:t>偏离</w:t>
      </w:r>
      <w:bookmarkEnd w:id="53"/>
      <w:bookmarkEnd w:id="54"/>
    </w:p>
    <w:p w14:paraId="1A8C0738">
      <w:pPr>
        <w:spacing w:line="400" w:lineRule="exact"/>
        <w:ind w:firstLine="359" w:firstLineChars="171"/>
        <w:rPr>
          <w:rFonts w:ascii="宋体"/>
        </w:rPr>
      </w:pPr>
      <w:bookmarkStart w:id="55" w:name="_Toc389065158"/>
      <w:r>
        <w:rPr>
          <w:rFonts w:hint="eastAsia" w:ascii="宋体" w:hAnsi="宋体" w:cs="宋体"/>
        </w:rPr>
        <w:t>投标人须知前附表允许投标文件偏离招标文件某些要求的，偏离应当符合招标文件规定的偏离范围和幅度。</w:t>
      </w:r>
    </w:p>
    <w:p w14:paraId="1FB553DC">
      <w:pPr>
        <w:pStyle w:val="4"/>
        <w:spacing w:line="400" w:lineRule="exact"/>
        <w:rPr>
          <w:rFonts w:ascii="宋体" w:hAnsi="宋体" w:eastAsia="宋体" w:cs="宋体"/>
          <w:sz w:val="21"/>
          <w:szCs w:val="21"/>
        </w:rPr>
      </w:pPr>
      <w:bookmarkStart w:id="56" w:name="_Toc498006656"/>
      <w:bookmarkStart w:id="57" w:name="_Toc389065198"/>
      <w:r>
        <w:rPr>
          <w:rFonts w:ascii="宋体" w:hAnsi="宋体" w:eastAsia="宋体" w:cs="宋体"/>
          <w:sz w:val="21"/>
          <w:szCs w:val="21"/>
        </w:rPr>
        <w:t>1.12</w:t>
      </w:r>
      <w:r>
        <w:rPr>
          <w:rFonts w:hint="eastAsia" w:ascii="宋体" w:hAnsi="宋体" w:eastAsia="宋体" w:cs="宋体"/>
          <w:sz w:val="21"/>
          <w:szCs w:val="21"/>
        </w:rPr>
        <w:t>知识产权</w:t>
      </w:r>
      <w:bookmarkEnd w:id="56"/>
      <w:bookmarkEnd w:id="57"/>
    </w:p>
    <w:p w14:paraId="3F4170B2">
      <w:pPr>
        <w:spacing w:line="400" w:lineRule="exact"/>
        <w:ind w:firstLine="359" w:firstLineChars="171"/>
        <w:rPr>
          <w:rFonts w:ascii="宋体"/>
        </w:rPr>
      </w:pPr>
      <w:r>
        <w:rPr>
          <w:rFonts w:hint="eastAsia" w:ascii="宋体" w:hAnsi="宋体" w:cs="宋体"/>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1307828A">
      <w:pPr>
        <w:pStyle w:val="4"/>
        <w:spacing w:line="400" w:lineRule="exact"/>
        <w:rPr>
          <w:rFonts w:ascii="宋体" w:hAnsi="宋体" w:eastAsia="宋体" w:cs="宋体"/>
          <w:sz w:val="21"/>
          <w:szCs w:val="21"/>
        </w:rPr>
      </w:pPr>
      <w:bookmarkStart w:id="58" w:name="_Toc498006657"/>
      <w:r>
        <w:rPr>
          <w:rFonts w:ascii="宋体" w:hAnsi="宋体" w:eastAsia="宋体" w:cs="宋体"/>
          <w:sz w:val="21"/>
          <w:szCs w:val="21"/>
        </w:rPr>
        <w:t>1.13</w:t>
      </w:r>
      <w:r>
        <w:rPr>
          <w:rFonts w:hint="eastAsia" w:ascii="宋体" w:hAnsi="宋体" w:eastAsia="宋体" w:cs="宋体"/>
          <w:sz w:val="21"/>
          <w:szCs w:val="21"/>
        </w:rPr>
        <w:t>同义词语</w:t>
      </w:r>
      <w:bookmarkEnd w:id="58"/>
    </w:p>
    <w:p w14:paraId="5FDB565B">
      <w:pPr>
        <w:spacing w:line="400" w:lineRule="exact"/>
        <w:ind w:firstLine="359" w:firstLineChars="171"/>
        <w:rPr>
          <w:rFonts w:ascii="宋体"/>
        </w:rPr>
      </w:pPr>
      <w:r>
        <w:rPr>
          <w:rFonts w:hint="eastAsia" w:ascii="宋体" w:hAnsi="宋体" w:cs="宋体"/>
        </w:rPr>
        <w:t>构成招标文件组成部分的“通用合同条款”、“专用合同条款”、“技术标准和要求”和“工程量清单”等章节中出现的措辞“发包人”和“承包人”，在招标投标阶段应当分别按“招标人”和“投标人”进行理解。</w:t>
      </w:r>
    </w:p>
    <w:p w14:paraId="5F9D49CF">
      <w:pPr>
        <w:pStyle w:val="4"/>
        <w:spacing w:line="400" w:lineRule="exact"/>
        <w:rPr>
          <w:rFonts w:ascii="宋体" w:hAnsi="宋体" w:eastAsia="宋体" w:cs="宋体"/>
          <w:sz w:val="21"/>
          <w:szCs w:val="21"/>
        </w:rPr>
      </w:pPr>
      <w:bookmarkStart w:id="59" w:name="_Toc498006658"/>
      <w:r>
        <w:rPr>
          <w:rFonts w:ascii="宋体" w:hAnsi="宋体" w:eastAsia="宋体" w:cs="宋体"/>
          <w:sz w:val="21"/>
          <w:szCs w:val="21"/>
        </w:rPr>
        <w:t xml:space="preserve">2 </w:t>
      </w:r>
      <w:r>
        <w:rPr>
          <w:rFonts w:hint="eastAsia" w:ascii="宋体" w:hAnsi="宋体" w:eastAsia="宋体" w:cs="宋体"/>
          <w:sz w:val="21"/>
          <w:szCs w:val="21"/>
        </w:rPr>
        <w:t>招标文件</w:t>
      </w:r>
      <w:bookmarkEnd w:id="55"/>
      <w:bookmarkEnd w:id="59"/>
    </w:p>
    <w:p w14:paraId="78379A43">
      <w:pPr>
        <w:pStyle w:val="4"/>
        <w:spacing w:line="400" w:lineRule="exact"/>
        <w:rPr>
          <w:rFonts w:ascii="宋体" w:hAnsi="宋体" w:eastAsia="宋体" w:cs="宋体"/>
          <w:sz w:val="21"/>
          <w:szCs w:val="21"/>
        </w:rPr>
      </w:pPr>
      <w:bookmarkStart w:id="60" w:name="_Toc498006659"/>
      <w:bookmarkStart w:id="61" w:name="_Toc389065159"/>
      <w:r>
        <w:rPr>
          <w:rFonts w:ascii="宋体" w:hAnsi="宋体" w:eastAsia="宋体" w:cs="宋体"/>
          <w:sz w:val="21"/>
          <w:szCs w:val="21"/>
        </w:rPr>
        <w:t xml:space="preserve">2.1 </w:t>
      </w:r>
      <w:r>
        <w:rPr>
          <w:rFonts w:hint="eastAsia" w:ascii="宋体" w:hAnsi="宋体" w:eastAsia="宋体" w:cs="宋体"/>
          <w:sz w:val="21"/>
          <w:szCs w:val="21"/>
        </w:rPr>
        <w:t>招标文件的组成</w:t>
      </w:r>
      <w:bookmarkEnd w:id="60"/>
      <w:bookmarkEnd w:id="61"/>
    </w:p>
    <w:p w14:paraId="0EF316B2">
      <w:pPr>
        <w:spacing w:line="400" w:lineRule="exact"/>
        <w:ind w:firstLine="420" w:firstLineChars="200"/>
        <w:rPr>
          <w:rFonts w:ascii="宋体"/>
        </w:rPr>
      </w:pPr>
      <w:r>
        <w:rPr>
          <w:rFonts w:ascii="宋体" w:hAnsi="宋体" w:cs="宋体"/>
        </w:rPr>
        <w:t xml:space="preserve">2.1.1 </w:t>
      </w:r>
      <w:r>
        <w:rPr>
          <w:rFonts w:hint="eastAsia" w:ascii="宋体" w:hAnsi="宋体" w:cs="宋体"/>
        </w:rPr>
        <w:t>本招标文件包括：</w:t>
      </w:r>
    </w:p>
    <w:p w14:paraId="5CD031A0">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）招标公告；</w:t>
      </w:r>
    </w:p>
    <w:p w14:paraId="342F92E0">
      <w:pPr>
        <w:spacing w:line="400" w:lineRule="exact"/>
        <w:ind w:firstLine="420" w:firstLineChars="200"/>
        <w:rPr>
          <w:rFonts w:ascii="宋体"/>
        </w:rPr>
      </w:pPr>
      <w:r>
        <w:rPr>
          <w:rFonts w:hint="eastAsia" w:ascii="宋体" w:hAnsi="宋体" w:cs="宋体"/>
        </w:rPr>
        <w:t>（</w:t>
      </w:r>
      <w:r>
        <w:rPr>
          <w:rFonts w:ascii="宋体" w:hAnsi="宋体" w:cs="宋体"/>
        </w:rPr>
        <w:t>2</w:t>
      </w:r>
      <w:r>
        <w:rPr>
          <w:rFonts w:hint="eastAsia" w:ascii="宋体" w:hAnsi="宋体" w:cs="宋体"/>
        </w:rPr>
        <w:t>）投标人须知；</w:t>
      </w:r>
    </w:p>
    <w:p w14:paraId="08503116">
      <w:pPr>
        <w:spacing w:line="400" w:lineRule="exact"/>
        <w:ind w:firstLine="420" w:firstLineChars="200"/>
        <w:rPr>
          <w:rFonts w:ascii="宋体"/>
        </w:rPr>
      </w:pPr>
      <w:r>
        <w:rPr>
          <w:rFonts w:hint="eastAsia" w:ascii="宋体" w:hAnsi="宋体" w:cs="宋体"/>
        </w:rPr>
        <w:t>（</w:t>
      </w:r>
      <w:r>
        <w:rPr>
          <w:rFonts w:ascii="宋体" w:hAnsi="宋体" w:cs="宋体"/>
        </w:rPr>
        <w:t>3</w:t>
      </w:r>
      <w:r>
        <w:rPr>
          <w:rFonts w:hint="eastAsia" w:ascii="宋体" w:hAnsi="宋体" w:cs="宋体"/>
        </w:rPr>
        <w:t>）评标办法；</w:t>
      </w:r>
    </w:p>
    <w:p w14:paraId="2E04D788">
      <w:pPr>
        <w:spacing w:line="400" w:lineRule="exact"/>
        <w:ind w:firstLine="420" w:firstLineChars="200"/>
        <w:rPr>
          <w:rFonts w:ascii="宋体"/>
          <w:highlight w:val="none"/>
        </w:rPr>
      </w:pPr>
      <w:r>
        <w:rPr>
          <w:rFonts w:hint="eastAsia" w:ascii="宋体" w:hAnsi="宋体" w:cs="宋体"/>
        </w:rPr>
        <w:t>（</w:t>
      </w:r>
      <w:r>
        <w:rPr>
          <w:rFonts w:ascii="宋体" w:hAnsi="宋体" w:cs="宋体"/>
        </w:rPr>
        <w:t>4</w:t>
      </w:r>
      <w:r>
        <w:rPr>
          <w:rFonts w:hint="eastAsia" w:ascii="宋体" w:hAnsi="宋体" w:cs="宋体"/>
          <w:highlight w:val="none"/>
        </w:rPr>
        <w:t>）合同条款及格式；</w:t>
      </w:r>
    </w:p>
    <w:p w14:paraId="1A749F1C">
      <w:pPr>
        <w:spacing w:line="400" w:lineRule="exact"/>
        <w:ind w:firstLine="420" w:firstLineChars="200"/>
        <w:rPr>
          <w:rFonts w:ascii="宋体"/>
          <w:highlight w:val="none"/>
        </w:rPr>
      </w:pPr>
      <w:r>
        <w:rPr>
          <w:rFonts w:hint="eastAsia" w:ascii="宋体" w:hAnsi="宋体" w:cs="宋体"/>
          <w:highlight w:val="none"/>
        </w:rPr>
        <w:t>（</w:t>
      </w:r>
      <w:r>
        <w:rPr>
          <w:rFonts w:ascii="宋体" w:hAnsi="宋体" w:cs="宋体"/>
          <w:highlight w:val="none"/>
        </w:rPr>
        <w:t>5</w:t>
      </w:r>
      <w:r>
        <w:rPr>
          <w:rFonts w:hint="eastAsia" w:ascii="宋体" w:hAnsi="宋体" w:cs="宋体"/>
          <w:highlight w:val="none"/>
        </w:rPr>
        <w:t>）工程量清单</w:t>
      </w:r>
      <w:r>
        <w:rPr>
          <w:rFonts w:hint="eastAsia" w:ascii="宋体" w:hAnsi="宋体" w:cs="宋体"/>
          <w:highlight w:val="none"/>
          <w:lang w:eastAsia="zh-CN"/>
        </w:rPr>
        <w:t>（</w:t>
      </w:r>
      <w:r>
        <w:rPr>
          <w:rFonts w:hint="eastAsia" w:ascii="宋体" w:hAnsi="宋体" w:cs="宋体"/>
          <w:highlight w:val="none"/>
          <w:lang w:val="en-US" w:eastAsia="zh-CN"/>
        </w:rPr>
        <w:t>仅供参考</w:t>
      </w:r>
      <w:r>
        <w:rPr>
          <w:rFonts w:hint="eastAsia" w:ascii="宋体" w:hAnsi="宋体" w:cs="宋体"/>
          <w:highlight w:val="none"/>
          <w:lang w:eastAsia="zh-CN"/>
        </w:rPr>
        <w:t>）</w:t>
      </w:r>
      <w:r>
        <w:rPr>
          <w:rFonts w:hint="eastAsia" w:ascii="宋体" w:hAnsi="宋体" w:cs="宋体"/>
          <w:highlight w:val="none"/>
        </w:rPr>
        <w:t>；</w:t>
      </w:r>
    </w:p>
    <w:p w14:paraId="20A72FCA">
      <w:pPr>
        <w:spacing w:line="400" w:lineRule="exact"/>
        <w:ind w:firstLine="420" w:firstLineChars="200"/>
        <w:rPr>
          <w:rFonts w:ascii="宋体"/>
          <w:highlight w:val="none"/>
        </w:rPr>
      </w:pPr>
      <w:r>
        <w:rPr>
          <w:rFonts w:hint="eastAsia" w:ascii="宋体" w:hAnsi="宋体" w:cs="宋体"/>
          <w:highlight w:val="none"/>
        </w:rPr>
        <w:t>（</w:t>
      </w:r>
      <w:r>
        <w:rPr>
          <w:rFonts w:ascii="宋体" w:hAnsi="宋体" w:cs="宋体"/>
          <w:highlight w:val="none"/>
        </w:rPr>
        <w:t>6</w:t>
      </w:r>
      <w:r>
        <w:rPr>
          <w:rFonts w:hint="eastAsia" w:ascii="宋体" w:hAnsi="宋体" w:cs="宋体"/>
          <w:highlight w:val="none"/>
        </w:rPr>
        <w:t>）图纸；</w:t>
      </w:r>
    </w:p>
    <w:p w14:paraId="20FCFFB3">
      <w:pPr>
        <w:spacing w:line="400" w:lineRule="exact"/>
        <w:ind w:firstLine="420" w:firstLineChars="200"/>
        <w:rPr>
          <w:rFonts w:ascii="宋体"/>
        </w:rPr>
      </w:pPr>
      <w:r>
        <w:rPr>
          <w:rFonts w:hint="eastAsia" w:ascii="宋体" w:hAnsi="宋体" w:cs="宋体"/>
        </w:rPr>
        <w:t>（</w:t>
      </w:r>
      <w:r>
        <w:rPr>
          <w:rFonts w:ascii="宋体" w:hAnsi="宋体" w:cs="宋体"/>
        </w:rPr>
        <w:t>7</w:t>
      </w:r>
      <w:r>
        <w:rPr>
          <w:rFonts w:hint="eastAsia" w:ascii="宋体" w:hAnsi="宋体" w:cs="宋体"/>
        </w:rPr>
        <w:t>）技术标准和要求；</w:t>
      </w:r>
    </w:p>
    <w:p w14:paraId="17FAEE05">
      <w:pPr>
        <w:spacing w:line="400" w:lineRule="exact"/>
        <w:ind w:firstLine="420" w:firstLineChars="200"/>
        <w:rPr>
          <w:rFonts w:ascii="宋体"/>
        </w:rPr>
      </w:pPr>
      <w:r>
        <w:rPr>
          <w:rFonts w:hint="eastAsia" w:ascii="宋体" w:hAnsi="宋体" w:cs="宋体"/>
        </w:rPr>
        <w:t>（</w:t>
      </w:r>
      <w:r>
        <w:rPr>
          <w:rFonts w:ascii="宋体" w:hAnsi="宋体" w:cs="宋体"/>
        </w:rPr>
        <w:t>8</w:t>
      </w:r>
      <w:r>
        <w:rPr>
          <w:rFonts w:hint="eastAsia" w:ascii="宋体" w:hAnsi="宋体" w:cs="宋体"/>
        </w:rPr>
        <w:t>）投标文件格式；</w:t>
      </w:r>
    </w:p>
    <w:p w14:paraId="38B705EF">
      <w:pPr>
        <w:spacing w:line="400" w:lineRule="exact"/>
        <w:ind w:firstLine="420" w:firstLineChars="200"/>
        <w:rPr>
          <w:rFonts w:ascii="宋体"/>
        </w:rPr>
      </w:pPr>
      <w:r>
        <w:rPr>
          <w:rFonts w:hint="eastAsia" w:ascii="宋体" w:hAnsi="宋体" w:cs="宋体"/>
        </w:rPr>
        <w:t>（</w:t>
      </w:r>
      <w:r>
        <w:rPr>
          <w:rFonts w:ascii="宋体" w:hAnsi="宋体" w:cs="宋体"/>
        </w:rPr>
        <w:t>9</w:t>
      </w:r>
      <w:r>
        <w:rPr>
          <w:rFonts w:hint="eastAsia" w:ascii="宋体" w:hAnsi="宋体" w:cs="宋体"/>
        </w:rPr>
        <w:t>）构成招标文件的其他材料（见投标人须知前附表）。</w:t>
      </w:r>
    </w:p>
    <w:p w14:paraId="24E378C7">
      <w:pPr>
        <w:spacing w:line="400" w:lineRule="exact"/>
        <w:ind w:firstLine="420" w:firstLineChars="200"/>
        <w:rPr>
          <w:rFonts w:ascii="宋体"/>
        </w:rPr>
      </w:pPr>
      <w:r>
        <w:rPr>
          <w:rFonts w:ascii="宋体" w:hAnsi="宋体" w:cs="宋体"/>
        </w:rPr>
        <w:t xml:space="preserve">2.1.2 </w:t>
      </w:r>
      <w:r>
        <w:rPr>
          <w:rFonts w:hint="eastAsia" w:ascii="宋体" w:hAnsi="宋体" w:cs="宋体"/>
        </w:rPr>
        <w:t>根据本章第</w:t>
      </w:r>
      <w:r>
        <w:rPr>
          <w:rFonts w:ascii="宋体" w:hAnsi="宋体" w:cs="宋体"/>
        </w:rPr>
        <w:t>2.2</w:t>
      </w:r>
      <w:r>
        <w:rPr>
          <w:rFonts w:hint="eastAsia" w:ascii="宋体" w:hAnsi="宋体" w:cs="宋体"/>
        </w:rPr>
        <w:t>款和第</w:t>
      </w:r>
      <w:r>
        <w:rPr>
          <w:rFonts w:ascii="宋体" w:hAnsi="宋体" w:cs="宋体"/>
        </w:rPr>
        <w:t>2.3</w:t>
      </w:r>
      <w:r>
        <w:rPr>
          <w:rFonts w:hint="eastAsia" w:ascii="宋体" w:hAnsi="宋体" w:cs="宋体"/>
        </w:rPr>
        <w:t>款对招标文件所作的澄清、修改，构成招标文件的组成部分。招标文件的澄清、修改内容前后相互矛盾时，以发布时间在后的文件为准。</w:t>
      </w:r>
    </w:p>
    <w:p w14:paraId="7AB5A778">
      <w:pPr>
        <w:pStyle w:val="4"/>
        <w:spacing w:line="400" w:lineRule="exact"/>
        <w:rPr>
          <w:rFonts w:ascii="宋体" w:hAnsi="宋体" w:eastAsia="宋体" w:cs="宋体"/>
          <w:sz w:val="21"/>
          <w:szCs w:val="21"/>
        </w:rPr>
      </w:pPr>
      <w:bookmarkStart w:id="62" w:name="_Toc498006660"/>
      <w:bookmarkStart w:id="63" w:name="_Toc389065160"/>
      <w:r>
        <w:rPr>
          <w:rFonts w:ascii="宋体" w:hAnsi="宋体" w:eastAsia="宋体" w:cs="宋体"/>
          <w:sz w:val="21"/>
          <w:szCs w:val="21"/>
        </w:rPr>
        <w:t xml:space="preserve">2.2 </w:t>
      </w:r>
      <w:r>
        <w:rPr>
          <w:rFonts w:hint="eastAsia" w:ascii="宋体" w:hAnsi="宋体" w:eastAsia="宋体" w:cs="宋体"/>
          <w:sz w:val="21"/>
          <w:szCs w:val="21"/>
        </w:rPr>
        <w:t>招标文件的澄清</w:t>
      </w:r>
      <w:bookmarkEnd w:id="62"/>
      <w:bookmarkEnd w:id="63"/>
    </w:p>
    <w:p w14:paraId="3808598A">
      <w:pPr>
        <w:spacing w:line="400" w:lineRule="exact"/>
        <w:ind w:firstLine="420" w:firstLineChars="200"/>
        <w:rPr>
          <w:rFonts w:ascii="宋体"/>
        </w:rPr>
      </w:pPr>
      <w:r>
        <w:rPr>
          <w:rFonts w:ascii="宋体" w:hAnsi="宋体" w:cs="宋体"/>
        </w:rPr>
        <w:t xml:space="preserve">2.2.1 </w:t>
      </w:r>
      <w:r>
        <w:rPr>
          <w:rFonts w:hint="eastAsia" w:ascii="宋体" w:hAnsi="宋体" w:cs="宋体"/>
        </w:rPr>
        <w:t>投标人应仔细阅读和检查招标文件的全部内容，投标人如有疑问，应在投标人须知前附表规定的时间，通过“</w:t>
      </w:r>
      <w:r>
        <w:rPr>
          <w:rFonts w:hint="eastAsia" w:ascii="宋体" w:hAnsi="宋体" w:cs="宋体"/>
          <w:sz w:val="24"/>
          <w:szCs w:val="24"/>
        </w:rPr>
        <w:t>tzswgcgs@163.com和285487554@qq.com邮箱</w:t>
      </w:r>
      <w:r>
        <w:rPr>
          <w:rFonts w:hint="eastAsia" w:ascii="宋体" w:hAnsi="宋体" w:cs="宋体"/>
        </w:rPr>
        <w:t>”提交，要求招标人对招标文件予以澄清。</w:t>
      </w:r>
    </w:p>
    <w:p w14:paraId="48C6DCA4">
      <w:pPr>
        <w:spacing w:line="400" w:lineRule="exact"/>
        <w:ind w:firstLine="422" w:firstLineChars="200"/>
        <w:rPr>
          <w:rFonts w:ascii="宋体"/>
          <w:b/>
          <w:bCs/>
        </w:rPr>
      </w:pPr>
      <w:r>
        <w:rPr>
          <w:rFonts w:hint="eastAsia" w:ascii="宋体" w:hAnsi="宋体" w:cs="宋体"/>
          <w:b/>
          <w:bCs/>
        </w:rPr>
        <w:t>投标人不在澄清期限内提出，招标人有权不予答复。</w:t>
      </w:r>
    </w:p>
    <w:p w14:paraId="19A80C42">
      <w:pPr>
        <w:spacing w:line="400" w:lineRule="exact"/>
        <w:ind w:firstLine="420" w:firstLineChars="200"/>
        <w:rPr>
          <w:rFonts w:ascii="宋体"/>
        </w:rPr>
      </w:pPr>
      <w:r>
        <w:rPr>
          <w:rFonts w:ascii="宋体" w:hAnsi="宋体" w:cs="宋体"/>
        </w:rPr>
        <w:t xml:space="preserve">2.2.2 </w:t>
      </w:r>
      <w:r>
        <w:rPr>
          <w:rFonts w:hint="eastAsia" w:ascii="宋体" w:hAnsi="宋体" w:cs="宋体"/>
        </w:rPr>
        <w:t>招标文件的澄清将在投标人须知前附表规定时间前</w:t>
      </w:r>
      <w:r>
        <w:rPr>
          <w:rFonts w:hint="eastAsia" w:ascii="宋体" w:hAnsi="宋体" w:cs="宋体"/>
          <w:kern w:val="0"/>
          <w:highlight w:val="white"/>
        </w:rPr>
        <w:t>通过</w:t>
      </w:r>
      <w:r>
        <w:rPr>
          <w:rFonts w:hint="eastAsia" w:ascii="宋体" w:hAnsi="宋体" w:cs="宋体"/>
        </w:rPr>
        <w:t>“南通市通州区水务有限公司</w:t>
      </w:r>
      <w:r>
        <w:rPr>
          <w:rFonts w:ascii="宋体" w:hAnsi="宋体" w:cs="宋体"/>
          <w:kern w:val="0"/>
        </w:rPr>
        <w:t>http://www.tzzls.com/</w:t>
      </w:r>
      <w:r>
        <w:rPr>
          <w:rFonts w:hint="eastAsia" w:ascii="宋体" w:hAnsi="宋体" w:cs="宋体"/>
        </w:rPr>
        <w:t>”发给所有投标人，但招标人不指明澄清问题的来源，招标人不再另行通知。</w:t>
      </w:r>
    </w:p>
    <w:p w14:paraId="3D0D1583">
      <w:pPr>
        <w:spacing w:line="400" w:lineRule="exact"/>
        <w:ind w:firstLine="420" w:firstLineChars="200"/>
        <w:rPr>
          <w:rFonts w:ascii="宋体"/>
        </w:rPr>
      </w:pPr>
      <w:r>
        <w:rPr>
          <w:rFonts w:ascii="宋体" w:hAnsi="宋体" w:cs="宋体"/>
        </w:rPr>
        <w:t>2.2.3</w:t>
      </w:r>
      <w:r>
        <w:rPr>
          <w:rFonts w:hint="eastAsia" w:ascii="宋体" w:hAnsi="宋体" w:cs="宋体"/>
        </w:rPr>
        <w:t>澄清文件按本章第</w:t>
      </w:r>
      <w:r>
        <w:rPr>
          <w:rFonts w:ascii="宋体" w:hAnsi="宋体" w:cs="宋体"/>
        </w:rPr>
        <w:t>2.2.2</w:t>
      </w:r>
      <w:r>
        <w:rPr>
          <w:rFonts w:hint="eastAsia" w:ascii="宋体" w:hAnsi="宋体" w:cs="宋体"/>
        </w:rPr>
        <w:t>款规定发出之时起，视为投标人已收到该澄清文件。投标人未及时通过“南通市通州区水务有限公司</w:t>
      </w:r>
      <w:r>
        <w:rPr>
          <w:rFonts w:ascii="宋体" w:hAnsi="宋体" w:cs="宋体"/>
          <w:kern w:val="0"/>
        </w:rPr>
        <w:t>http://www.tzzls.com/</w:t>
      </w:r>
      <w:r>
        <w:rPr>
          <w:rFonts w:hint="eastAsia" w:ascii="宋体" w:hAnsi="宋体" w:cs="宋体"/>
        </w:rPr>
        <w:t>”查阅招标文件的澄清，或未按照澄清后的招标文件编制投标文件，由此造成的后果由投标人自行承担。</w:t>
      </w:r>
    </w:p>
    <w:p w14:paraId="106F6B25">
      <w:pPr>
        <w:pStyle w:val="4"/>
        <w:spacing w:line="400" w:lineRule="exact"/>
        <w:rPr>
          <w:rFonts w:ascii="宋体" w:hAnsi="宋体" w:eastAsia="宋体" w:cs="宋体"/>
          <w:sz w:val="21"/>
          <w:szCs w:val="21"/>
        </w:rPr>
      </w:pPr>
      <w:bookmarkStart w:id="64" w:name="_Toc498006661"/>
      <w:bookmarkStart w:id="65" w:name="_Toc389065161"/>
      <w:r>
        <w:rPr>
          <w:rFonts w:ascii="宋体" w:hAnsi="宋体" w:eastAsia="宋体" w:cs="宋体"/>
          <w:sz w:val="21"/>
          <w:szCs w:val="21"/>
        </w:rPr>
        <w:t xml:space="preserve">2.3 </w:t>
      </w:r>
      <w:r>
        <w:rPr>
          <w:rFonts w:hint="eastAsia" w:ascii="宋体" w:hAnsi="宋体" w:eastAsia="宋体" w:cs="宋体"/>
          <w:sz w:val="21"/>
          <w:szCs w:val="21"/>
        </w:rPr>
        <w:t>招标文件的修改</w:t>
      </w:r>
      <w:bookmarkEnd w:id="64"/>
      <w:bookmarkEnd w:id="65"/>
    </w:p>
    <w:p w14:paraId="5FA1646D">
      <w:pPr>
        <w:spacing w:line="400" w:lineRule="exact"/>
        <w:ind w:firstLine="420" w:firstLineChars="200"/>
        <w:rPr>
          <w:rFonts w:ascii="宋体"/>
        </w:rPr>
      </w:pPr>
      <w:r>
        <w:rPr>
          <w:rFonts w:ascii="宋体" w:hAnsi="宋体" w:cs="宋体"/>
        </w:rPr>
        <w:t xml:space="preserve">2.3.1 </w:t>
      </w:r>
      <w:r>
        <w:rPr>
          <w:rFonts w:hint="eastAsia" w:ascii="宋体" w:hAnsi="宋体" w:cs="宋体"/>
        </w:rPr>
        <w:t>招标文件发布后，招标人确需对招标文件进行修改的，招标人将</w:t>
      </w:r>
      <w:r>
        <w:rPr>
          <w:rFonts w:hint="eastAsia" w:ascii="宋体" w:hAnsi="宋体" w:cs="宋体"/>
          <w:kern w:val="0"/>
          <w:highlight w:val="white"/>
        </w:rPr>
        <w:t>通过</w:t>
      </w:r>
      <w:r>
        <w:rPr>
          <w:rFonts w:hint="eastAsia" w:ascii="宋体" w:hAnsi="宋体" w:cs="宋体"/>
        </w:rPr>
        <w:t>“南通市通州区水务有限公司</w:t>
      </w:r>
      <w:r>
        <w:rPr>
          <w:rFonts w:ascii="宋体" w:hAnsi="宋体" w:cs="宋体"/>
          <w:kern w:val="0"/>
        </w:rPr>
        <w:t>http://www.tzzls.com/</w:t>
      </w:r>
      <w:r>
        <w:rPr>
          <w:rFonts w:hint="eastAsia" w:ascii="宋体" w:hAnsi="宋体" w:cs="宋体"/>
        </w:rPr>
        <w:t>”发给所有投标人。</w:t>
      </w:r>
    </w:p>
    <w:p w14:paraId="5801E5FB">
      <w:pPr>
        <w:spacing w:line="400" w:lineRule="exact"/>
        <w:ind w:firstLine="420" w:firstLineChars="200"/>
        <w:rPr>
          <w:rFonts w:ascii="宋体"/>
        </w:rPr>
      </w:pPr>
      <w:r>
        <w:rPr>
          <w:rFonts w:ascii="宋体" w:hAnsi="宋体" w:cs="宋体"/>
        </w:rPr>
        <w:t>2.3.2</w:t>
      </w:r>
      <w:r>
        <w:rPr>
          <w:rFonts w:hint="eastAsia" w:ascii="宋体" w:hAnsi="宋体" w:cs="宋体"/>
        </w:rPr>
        <w:t>修改文件按本章第</w:t>
      </w:r>
      <w:r>
        <w:rPr>
          <w:rFonts w:ascii="宋体" w:hAnsi="宋体" w:cs="宋体"/>
        </w:rPr>
        <w:t>2.3.1</w:t>
      </w:r>
      <w:r>
        <w:rPr>
          <w:rFonts w:hint="eastAsia" w:ascii="宋体" w:hAnsi="宋体" w:cs="宋体"/>
        </w:rPr>
        <w:t>款规定发出之时起，视为投标人已收到该修改文件。投标人未及时通过“南通市通州区水务有限公司</w:t>
      </w:r>
      <w:r>
        <w:rPr>
          <w:rFonts w:ascii="宋体" w:hAnsi="宋体" w:cs="宋体"/>
          <w:kern w:val="0"/>
        </w:rPr>
        <w:t>http://www.tzzls.com/</w:t>
      </w:r>
      <w:r>
        <w:rPr>
          <w:rFonts w:hint="eastAsia" w:ascii="宋体" w:hAnsi="宋体" w:cs="宋体"/>
        </w:rPr>
        <w:t>”查阅招标文件的修改，或未按照修改后的招标文件编制投标文件，由此造成的后果由投标人自行承担。</w:t>
      </w:r>
    </w:p>
    <w:p w14:paraId="311D62C1">
      <w:pPr>
        <w:pStyle w:val="4"/>
        <w:spacing w:line="400" w:lineRule="exact"/>
        <w:rPr>
          <w:rFonts w:ascii="宋体" w:hAnsi="宋体" w:eastAsia="宋体" w:cs="宋体"/>
          <w:sz w:val="21"/>
          <w:szCs w:val="21"/>
        </w:rPr>
      </w:pPr>
      <w:bookmarkStart w:id="66" w:name="_Toc498006662"/>
      <w:bookmarkStart w:id="67" w:name="_Toc473034303"/>
      <w:r>
        <w:rPr>
          <w:rFonts w:ascii="宋体" w:hAnsi="宋体" w:eastAsia="宋体" w:cs="宋体"/>
          <w:sz w:val="21"/>
          <w:szCs w:val="21"/>
        </w:rPr>
        <w:t xml:space="preserve">2.4 </w:t>
      </w:r>
      <w:r>
        <w:rPr>
          <w:rFonts w:hint="eastAsia" w:ascii="宋体" w:hAnsi="宋体" w:eastAsia="宋体" w:cs="宋体"/>
          <w:sz w:val="21"/>
          <w:szCs w:val="21"/>
        </w:rPr>
        <w:t>招标控制价</w:t>
      </w:r>
      <w:bookmarkEnd w:id="66"/>
      <w:bookmarkEnd w:id="67"/>
    </w:p>
    <w:p w14:paraId="40D6BC1D">
      <w:pPr>
        <w:pStyle w:val="19"/>
        <w:spacing w:line="400" w:lineRule="exact"/>
        <w:ind w:firstLine="420" w:firstLineChars="200"/>
        <w:jc w:val="both"/>
        <w:rPr>
          <w:rFonts w:ascii="宋体" w:hAnsi="宋体" w:cs="宋体"/>
          <w:sz w:val="21"/>
          <w:szCs w:val="21"/>
        </w:rPr>
      </w:pPr>
      <w:r>
        <w:rPr>
          <w:rFonts w:hint="eastAsia" w:ascii="宋体" w:hAnsi="宋体" w:cs="宋体"/>
          <w:sz w:val="21"/>
          <w:szCs w:val="21"/>
        </w:rPr>
        <w:t>招标控制价，是招标人根据国家或省级、行业建设主管部门颁发的有关计价依据和办法，以及本招标文件和招标工程量清单，结合工程具体情况编制的本次招标工程的最高投标限价。本工程招标控制价金额见“投标人须知前附表”。招标人确需对已发布的招标控制价进行修改的，将通过“南通市通州区水务有限公司</w:t>
      </w:r>
      <w:r>
        <w:rPr>
          <w:rFonts w:ascii="宋体" w:hAnsi="宋体" w:cs="宋体"/>
          <w:sz w:val="21"/>
          <w:szCs w:val="21"/>
        </w:rPr>
        <w:t>http://www.tzzls.com/</w:t>
      </w:r>
      <w:r>
        <w:rPr>
          <w:rFonts w:hint="eastAsia" w:ascii="宋体" w:hAnsi="宋体" w:cs="宋体"/>
          <w:sz w:val="21"/>
          <w:szCs w:val="21"/>
        </w:rPr>
        <w:t>”发给所有投标人。</w:t>
      </w:r>
    </w:p>
    <w:p w14:paraId="29B31D18">
      <w:pPr>
        <w:pStyle w:val="4"/>
        <w:spacing w:line="400" w:lineRule="exact"/>
        <w:rPr>
          <w:rFonts w:ascii="宋体" w:hAnsi="宋体" w:eastAsia="宋体" w:cs="宋体"/>
          <w:sz w:val="21"/>
          <w:szCs w:val="21"/>
        </w:rPr>
      </w:pPr>
      <w:bookmarkStart w:id="68" w:name="_Toc389065162"/>
      <w:bookmarkStart w:id="69" w:name="_Toc498006663"/>
      <w:r>
        <w:rPr>
          <w:rFonts w:ascii="宋体" w:hAnsi="宋体" w:eastAsia="宋体" w:cs="宋体"/>
          <w:sz w:val="21"/>
          <w:szCs w:val="21"/>
        </w:rPr>
        <w:t xml:space="preserve">3 </w:t>
      </w:r>
      <w:r>
        <w:rPr>
          <w:rFonts w:hint="eastAsia" w:ascii="宋体" w:hAnsi="宋体" w:eastAsia="宋体" w:cs="宋体"/>
          <w:sz w:val="21"/>
          <w:szCs w:val="21"/>
        </w:rPr>
        <w:t>投标文件</w:t>
      </w:r>
      <w:bookmarkEnd w:id="68"/>
      <w:bookmarkEnd w:id="69"/>
    </w:p>
    <w:p w14:paraId="5A391182">
      <w:pPr>
        <w:pStyle w:val="4"/>
        <w:spacing w:line="400" w:lineRule="exact"/>
        <w:rPr>
          <w:rFonts w:ascii="宋体" w:hAnsi="宋体" w:eastAsia="宋体" w:cs="宋体"/>
          <w:sz w:val="21"/>
          <w:szCs w:val="21"/>
        </w:rPr>
      </w:pPr>
      <w:bookmarkStart w:id="70" w:name="_Toc498006664"/>
      <w:bookmarkStart w:id="71" w:name="_Toc389065163"/>
      <w:r>
        <w:rPr>
          <w:rFonts w:ascii="宋体" w:hAnsi="宋体" w:eastAsia="宋体" w:cs="宋体"/>
          <w:sz w:val="21"/>
          <w:szCs w:val="21"/>
        </w:rPr>
        <w:t xml:space="preserve">3.1 </w:t>
      </w:r>
      <w:r>
        <w:rPr>
          <w:rFonts w:hint="eastAsia" w:ascii="宋体" w:hAnsi="宋体" w:eastAsia="宋体" w:cs="宋体"/>
          <w:sz w:val="21"/>
          <w:szCs w:val="21"/>
        </w:rPr>
        <w:t>投标文件的组成</w:t>
      </w:r>
      <w:bookmarkEnd w:id="70"/>
      <w:bookmarkEnd w:id="71"/>
    </w:p>
    <w:p w14:paraId="715B5F4F">
      <w:pPr>
        <w:spacing w:line="400" w:lineRule="exact"/>
        <w:ind w:firstLine="420" w:firstLineChars="200"/>
        <w:rPr>
          <w:rFonts w:ascii="宋体"/>
        </w:rPr>
      </w:pPr>
      <w:r>
        <w:rPr>
          <w:rFonts w:ascii="宋体" w:hAnsi="宋体" w:cs="宋体"/>
        </w:rPr>
        <w:t xml:space="preserve">3.1.1 </w:t>
      </w:r>
      <w:r>
        <w:rPr>
          <w:rFonts w:hint="eastAsia" w:ascii="宋体" w:hAnsi="宋体" w:cs="宋体"/>
        </w:rPr>
        <w:t>投标文件组成见“投标人须知前附表”；</w:t>
      </w:r>
    </w:p>
    <w:p w14:paraId="4787F5D5">
      <w:pPr>
        <w:spacing w:line="400" w:lineRule="exact"/>
        <w:ind w:firstLine="420" w:firstLineChars="200"/>
        <w:rPr>
          <w:rFonts w:ascii="宋体"/>
        </w:rPr>
      </w:pPr>
      <w:r>
        <w:rPr>
          <w:rFonts w:ascii="宋体" w:hAnsi="宋体" w:cs="宋体"/>
        </w:rPr>
        <w:t xml:space="preserve">3.1.2 </w:t>
      </w:r>
      <w:r>
        <w:rPr>
          <w:rFonts w:hint="eastAsia" w:ascii="宋体" w:hAnsi="宋体" w:cs="宋体"/>
        </w:rPr>
        <w:t>招标文件“第七章投标文件格式”有规定格式要求的，投标人应按规定的格式填写并按要求提交相关的证明材料。</w:t>
      </w:r>
    </w:p>
    <w:p w14:paraId="2F6CE7FF">
      <w:pPr>
        <w:pStyle w:val="4"/>
        <w:spacing w:line="400" w:lineRule="exact"/>
        <w:rPr>
          <w:rFonts w:ascii="宋体" w:hAnsi="宋体" w:eastAsia="宋体" w:cs="宋体"/>
          <w:sz w:val="21"/>
          <w:szCs w:val="21"/>
          <w:highlight w:val="none"/>
        </w:rPr>
      </w:pPr>
      <w:bookmarkStart w:id="72" w:name="_Toc389065164"/>
      <w:bookmarkStart w:id="73" w:name="_Toc498006665"/>
      <w:r>
        <w:rPr>
          <w:rFonts w:ascii="宋体" w:hAnsi="宋体" w:eastAsia="宋体" w:cs="宋体"/>
          <w:sz w:val="21"/>
          <w:szCs w:val="21"/>
        </w:rPr>
        <w:t>3.</w:t>
      </w:r>
      <w:r>
        <w:rPr>
          <w:rFonts w:ascii="宋体" w:hAnsi="宋体" w:eastAsia="宋体" w:cs="宋体"/>
          <w:sz w:val="21"/>
          <w:szCs w:val="21"/>
          <w:highlight w:val="none"/>
        </w:rPr>
        <w:t xml:space="preserve">2 </w:t>
      </w:r>
      <w:r>
        <w:rPr>
          <w:rFonts w:hint="eastAsia" w:ascii="宋体" w:hAnsi="宋体" w:eastAsia="宋体" w:cs="宋体"/>
          <w:sz w:val="21"/>
          <w:szCs w:val="21"/>
          <w:highlight w:val="none"/>
        </w:rPr>
        <w:t>投标报价</w:t>
      </w:r>
      <w:bookmarkEnd w:id="72"/>
      <w:bookmarkEnd w:id="73"/>
    </w:p>
    <w:p w14:paraId="5AFE4EA5">
      <w:pPr>
        <w:widowControl/>
        <w:snapToGrid w:val="0"/>
        <w:spacing w:line="400" w:lineRule="exact"/>
        <w:ind w:firstLine="420" w:firstLineChars="200"/>
        <w:jc w:val="left"/>
        <w:rPr>
          <w:rFonts w:hint="eastAsia" w:ascii="宋体" w:hAnsi="宋体" w:cs="宋体"/>
          <w:b/>
          <w:highlight w:val="none"/>
        </w:rPr>
      </w:pPr>
      <w:r>
        <w:rPr>
          <w:rFonts w:ascii="宋体" w:hAnsi="宋体" w:cs="宋体"/>
          <w:highlight w:val="none"/>
        </w:rPr>
        <w:t>3.2.1</w:t>
      </w:r>
      <w:r>
        <w:rPr>
          <w:rFonts w:hint="eastAsia" w:ascii="宋体" w:hAnsi="宋体" w:cs="宋体"/>
          <w:b/>
          <w:highlight w:val="none"/>
        </w:rPr>
        <w:t>本项目采用固定总价报价，报价包含钢管施工、试压费，投标人报价时应充分考虑施工期间各类建材的市场风险，结算时不作调整</w:t>
      </w:r>
      <w:r>
        <w:rPr>
          <w:rFonts w:hint="eastAsia" w:ascii="宋体" w:hAnsi="宋体" w:cs="宋体"/>
          <w:b/>
          <w:highlight w:val="none"/>
          <w:lang w:eastAsia="zh-CN"/>
        </w:rPr>
        <w:t>，</w:t>
      </w:r>
      <w:r>
        <w:rPr>
          <w:rFonts w:hint="eastAsia" w:ascii="宋体" w:hAnsi="宋体" w:cs="宋体"/>
          <w:b/>
          <w:highlight w:val="none"/>
        </w:rPr>
        <w:t>本次招标</w:t>
      </w:r>
      <w:r>
        <w:rPr>
          <w:rFonts w:hint="eastAsia" w:ascii="宋体" w:hAnsi="宋体" w:cs="宋体"/>
          <w:b/>
          <w:highlight w:val="none"/>
          <w:lang w:val="en-US" w:eastAsia="zh-CN"/>
        </w:rPr>
        <w:t>发包人</w:t>
      </w:r>
      <w:r>
        <w:rPr>
          <w:rFonts w:hint="eastAsia" w:ascii="宋体" w:hAnsi="宋体" w:cs="宋体"/>
          <w:b/>
          <w:highlight w:val="none"/>
        </w:rPr>
        <w:t>所提供的工程量清单仅供参考。</w:t>
      </w:r>
    </w:p>
    <w:p w14:paraId="5EA934F5">
      <w:pPr>
        <w:widowControl/>
        <w:snapToGrid w:val="0"/>
        <w:spacing w:line="400" w:lineRule="exact"/>
        <w:ind w:firstLine="422" w:firstLineChars="200"/>
        <w:jc w:val="left"/>
        <w:rPr>
          <w:rFonts w:hint="default" w:ascii="宋体" w:hAnsi="宋体" w:eastAsia="宋体" w:cs="宋体"/>
          <w:b/>
          <w:highlight w:val="none"/>
          <w:lang w:val="en-US" w:eastAsia="zh-CN"/>
        </w:rPr>
      </w:pPr>
      <w:r>
        <w:rPr>
          <w:rFonts w:hint="eastAsia" w:ascii="宋体" w:hAnsi="宋体" w:cs="宋体"/>
          <w:b/>
          <w:highlight w:val="none"/>
          <w:lang w:val="en-US" w:eastAsia="zh-CN"/>
        </w:rPr>
        <w:t>3.2.2</w:t>
      </w:r>
      <w:r>
        <w:rPr>
          <w:rFonts w:hint="eastAsia" w:ascii="宋体" w:hAnsi="宋体" w:cs="宋体"/>
          <w:b/>
          <w:highlight w:val="none"/>
        </w:rPr>
        <w:t>发生变更项目导致局部工程量增</w:t>
      </w:r>
      <w:r>
        <w:rPr>
          <w:rFonts w:hint="eastAsia" w:ascii="宋体" w:hAnsi="宋体" w:cs="宋体"/>
          <w:b/>
          <w:highlight w:val="none"/>
          <w:lang w:val="en-US" w:eastAsia="zh-CN"/>
        </w:rPr>
        <w:t>加</w:t>
      </w:r>
      <w:r>
        <w:rPr>
          <w:rFonts w:hint="eastAsia" w:ascii="宋体" w:hAnsi="宋体" w:cs="宋体"/>
          <w:b/>
          <w:highlight w:val="none"/>
        </w:rPr>
        <w:t>，由此产生的费用变化，</w:t>
      </w:r>
      <w:r>
        <w:rPr>
          <w:rFonts w:hint="eastAsia" w:ascii="宋体" w:hAnsi="宋体" w:cs="宋体"/>
          <w:b/>
          <w:highlight w:val="none"/>
          <w:lang w:val="en-US" w:eastAsia="zh-CN"/>
        </w:rPr>
        <w:t>增加部分决算金额低于2万元（含2万元）的，</w:t>
      </w:r>
      <w:r>
        <w:rPr>
          <w:rFonts w:hint="eastAsia" w:ascii="宋体" w:hAnsi="宋体" w:cs="宋体"/>
          <w:b/>
          <w:highlight w:val="none"/>
        </w:rPr>
        <w:t>结算时不作调整</w:t>
      </w:r>
      <w:r>
        <w:rPr>
          <w:rFonts w:hint="eastAsia" w:ascii="宋体" w:hAnsi="宋体" w:cs="宋体"/>
          <w:b/>
          <w:highlight w:val="none"/>
          <w:lang w:eastAsia="zh-CN"/>
        </w:rPr>
        <w:t>；</w:t>
      </w:r>
      <w:r>
        <w:rPr>
          <w:rFonts w:hint="eastAsia" w:ascii="宋体" w:hAnsi="宋体" w:cs="宋体"/>
          <w:b/>
          <w:highlight w:val="none"/>
          <w:lang w:val="en-US" w:eastAsia="zh-CN"/>
        </w:rPr>
        <w:t>增加部分决算金额高于2万元的，结算时按实结算，决算下浮率参照南通市通州区水务工程有限公司2025-2026年度劳务作业供应商一标段下浮率进行结算；</w:t>
      </w:r>
      <w:r>
        <w:rPr>
          <w:rFonts w:hint="eastAsia" w:ascii="宋体" w:hAnsi="宋体" w:cs="宋体"/>
          <w:b/>
          <w:bCs/>
          <w:kern w:val="0"/>
          <w:highlight w:val="none"/>
          <w:lang w:val="en-US" w:eastAsia="zh-CN"/>
        </w:rPr>
        <w:t>清单内不施工的工程量在结算时按实扣除（为避免投标人存在不平衡报价，针对部分明显存在价格偏低的报价，发包人有权对该报价清单进行重新组价，其下浮率按（最高限价-中标价）÷（最高限价÷0.8）计取）</w:t>
      </w:r>
      <w:r>
        <w:rPr>
          <w:rFonts w:hint="eastAsia" w:ascii="宋体" w:hAnsi="宋体" w:cs="宋体"/>
          <w:b/>
          <w:highlight w:val="none"/>
        </w:rPr>
        <w:t>。</w:t>
      </w:r>
    </w:p>
    <w:p w14:paraId="6CD1B334">
      <w:pPr>
        <w:tabs>
          <w:tab w:val="left" w:pos="0"/>
          <w:tab w:val="left" w:pos="993"/>
          <w:tab w:val="left" w:pos="1134"/>
        </w:tabs>
        <w:adjustRightInd w:val="0"/>
        <w:snapToGrid w:val="0"/>
        <w:spacing w:line="400" w:lineRule="exact"/>
        <w:ind w:firstLine="420" w:firstLineChars="200"/>
        <w:rPr>
          <w:rFonts w:ascii="宋体"/>
          <w:highlight w:val="none"/>
        </w:rPr>
      </w:pPr>
      <w:r>
        <w:rPr>
          <w:rFonts w:ascii="宋体" w:hAnsi="宋体" w:cs="宋体"/>
          <w:highlight w:val="none"/>
        </w:rPr>
        <w:t>3.2.</w:t>
      </w:r>
      <w:r>
        <w:rPr>
          <w:rFonts w:hint="eastAsia" w:ascii="宋体" w:hAnsi="宋体" w:cs="宋体"/>
          <w:highlight w:val="none"/>
          <w:lang w:val="en-US" w:eastAsia="zh-CN"/>
        </w:rPr>
        <w:t>3</w:t>
      </w:r>
      <w:r>
        <w:rPr>
          <w:rFonts w:ascii="宋体" w:hAnsi="宋体" w:cs="宋体"/>
          <w:highlight w:val="none"/>
        </w:rPr>
        <w:t xml:space="preserve"> </w:t>
      </w:r>
      <w:r>
        <w:rPr>
          <w:rFonts w:hint="eastAsia" w:ascii="宋体" w:hAnsi="宋体" w:cs="宋体"/>
          <w:highlight w:val="none"/>
        </w:rPr>
        <w:t>投标人在投标截止时间前修改投标函中的投标总报价，应同时修改“已标价工程量清单”中的相应报价。此修改须符合本章第</w:t>
      </w:r>
      <w:r>
        <w:rPr>
          <w:rFonts w:ascii="宋体" w:hAnsi="宋体" w:cs="宋体"/>
          <w:highlight w:val="none"/>
        </w:rPr>
        <w:t>4.3</w:t>
      </w:r>
      <w:r>
        <w:rPr>
          <w:rFonts w:hint="eastAsia" w:ascii="宋体" w:hAnsi="宋体" w:cs="宋体"/>
          <w:highlight w:val="none"/>
        </w:rPr>
        <w:t>款的有关要求。</w:t>
      </w:r>
    </w:p>
    <w:p w14:paraId="406DB776">
      <w:pPr>
        <w:tabs>
          <w:tab w:val="left" w:pos="0"/>
          <w:tab w:val="left" w:pos="993"/>
          <w:tab w:val="left" w:pos="1134"/>
        </w:tabs>
        <w:adjustRightInd w:val="0"/>
        <w:snapToGrid w:val="0"/>
        <w:spacing w:line="400" w:lineRule="exact"/>
        <w:ind w:firstLine="420" w:firstLineChars="200"/>
        <w:rPr>
          <w:rFonts w:ascii="宋体" w:hAnsi="宋体" w:cs="宋体"/>
          <w:highlight w:val="none"/>
        </w:rPr>
      </w:pPr>
      <w:r>
        <w:rPr>
          <w:rFonts w:ascii="宋体" w:hAnsi="宋体" w:cs="宋体"/>
          <w:kern w:val="0"/>
          <w:highlight w:val="none"/>
        </w:rPr>
        <w:t>3.2.</w:t>
      </w:r>
      <w:r>
        <w:rPr>
          <w:rFonts w:hint="eastAsia" w:ascii="宋体" w:hAnsi="宋体" w:cs="宋体"/>
          <w:kern w:val="0"/>
          <w:highlight w:val="none"/>
          <w:lang w:val="en-US" w:eastAsia="zh-CN"/>
        </w:rPr>
        <w:t>4</w:t>
      </w:r>
      <w:r>
        <w:rPr>
          <w:rFonts w:hint="eastAsia" w:ascii="宋体" w:hAnsi="宋体" w:cs="宋体"/>
          <w:kern w:val="0"/>
          <w:highlight w:val="none"/>
        </w:rPr>
        <w:t>本项目合同价格形式见投标须知前附表，各投标人的投标报价应充分考虑第四章</w:t>
      </w:r>
      <w:r>
        <w:rPr>
          <w:rFonts w:hint="eastAsia" w:ascii="宋体" w:hAnsi="宋体" w:cs="宋体"/>
          <w:highlight w:val="none"/>
        </w:rPr>
        <w:t>“合同条款及格式”所列合同价格风险。</w:t>
      </w:r>
    </w:p>
    <w:p w14:paraId="3F8872EB">
      <w:pPr>
        <w:tabs>
          <w:tab w:val="left" w:pos="0"/>
          <w:tab w:val="left" w:pos="993"/>
          <w:tab w:val="left" w:pos="1134"/>
        </w:tabs>
        <w:adjustRightInd w:val="0"/>
        <w:snapToGrid w:val="0"/>
        <w:spacing w:line="400" w:lineRule="exact"/>
        <w:ind w:firstLine="422" w:firstLineChars="200"/>
        <w:rPr>
          <w:rFonts w:ascii="宋体" w:hAnsi="宋体" w:cs="宋体"/>
          <w:b/>
          <w:bCs/>
          <w:highlight w:val="none"/>
        </w:rPr>
      </w:pPr>
      <w:r>
        <w:rPr>
          <w:rFonts w:ascii="宋体" w:hAnsi="宋体" w:cs="宋体"/>
          <w:b/>
          <w:bCs/>
          <w:highlight w:val="none"/>
        </w:rPr>
        <w:t>3.2.</w:t>
      </w:r>
      <w:r>
        <w:rPr>
          <w:rFonts w:hint="eastAsia" w:ascii="宋体" w:hAnsi="宋体" w:cs="宋体"/>
          <w:b/>
          <w:bCs/>
          <w:highlight w:val="none"/>
          <w:lang w:val="en-US" w:eastAsia="zh-CN"/>
        </w:rPr>
        <w:t>5</w:t>
      </w:r>
      <w:r>
        <w:rPr>
          <w:rFonts w:ascii="宋体" w:hAnsi="宋体" w:cs="宋体"/>
          <w:b/>
          <w:bCs/>
          <w:highlight w:val="none"/>
        </w:rPr>
        <w:t>本项目招标代理费人民币</w:t>
      </w:r>
      <w:r>
        <w:rPr>
          <w:rFonts w:hint="eastAsia" w:ascii="宋体" w:hAnsi="宋体" w:cs="宋体"/>
          <w:b/>
          <w:bCs/>
          <w:highlight w:val="none"/>
          <w:lang w:val="en-US" w:eastAsia="zh-CN"/>
        </w:rPr>
        <w:t>3630</w:t>
      </w:r>
      <w:r>
        <w:rPr>
          <w:rFonts w:ascii="宋体" w:hAnsi="宋体" w:cs="宋体"/>
          <w:b/>
          <w:bCs/>
          <w:highlight w:val="none"/>
        </w:rPr>
        <w:t>元由中标人在开标结束后支付给代理机构，请各投标人在报价时考虑上述费用。</w:t>
      </w:r>
    </w:p>
    <w:p w14:paraId="0EF14416">
      <w:pPr>
        <w:pStyle w:val="4"/>
        <w:spacing w:line="400" w:lineRule="exact"/>
        <w:rPr>
          <w:rFonts w:ascii="宋体" w:hAnsi="宋体" w:eastAsia="宋体" w:cs="宋体"/>
          <w:sz w:val="21"/>
          <w:szCs w:val="21"/>
          <w:highlight w:val="none"/>
        </w:rPr>
      </w:pPr>
      <w:bookmarkStart w:id="74" w:name="_Toc498006666"/>
      <w:bookmarkStart w:id="75" w:name="_Toc389065165"/>
      <w:r>
        <w:rPr>
          <w:rFonts w:ascii="宋体" w:hAnsi="宋体" w:eastAsia="宋体" w:cs="宋体"/>
          <w:sz w:val="21"/>
          <w:szCs w:val="21"/>
          <w:highlight w:val="none"/>
        </w:rPr>
        <w:t xml:space="preserve">3.3 </w:t>
      </w:r>
      <w:r>
        <w:rPr>
          <w:rFonts w:hint="eastAsia" w:ascii="宋体" w:hAnsi="宋体" w:eastAsia="宋体" w:cs="宋体"/>
          <w:sz w:val="21"/>
          <w:szCs w:val="21"/>
          <w:highlight w:val="none"/>
        </w:rPr>
        <w:t>投标有效期</w:t>
      </w:r>
      <w:bookmarkEnd w:id="74"/>
      <w:bookmarkEnd w:id="75"/>
    </w:p>
    <w:p w14:paraId="5DB1B809">
      <w:pPr>
        <w:spacing w:line="400" w:lineRule="exact"/>
        <w:ind w:firstLine="420" w:firstLineChars="200"/>
        <w:rPr>
          <w:rFonts w:ascii="宋体"/>
        </w:rPr>
      </w:pPr>
      <w:r>
        <w:rPr>
          <w:rFonts w:ascii="宋体" w:hAnsi="宋体" w:cs="宋体"/>
        </w:rPr>
        <w:t xml:space="preserve">3.3.1 </w:t>
      </w:r>
      <w:r>
        <w:rPr>
          <w:rFonts w:hint="eastAsia" w:ascii="宋体" w:hAnsi="宋体" w:cs="宋体"/>
        </w:rPr>
        <w:t>在投标人须知前附表规定的投标有效期内，投标人不得要求撤销或修改其投标文件。</w:t>
      </w:r>
    </w:p>
    <w:p w14:paraId="1224F805">
      <w:pPr>
        <w:spacing w:line="400" w:lineRule="exact"/>
        <w:ind w:firstLine="420" w:firstLineChars="200"/>
        <w:rPr>
          <w:rFonts w:ascii="宋体"/>
        </w:rPr>
      </w:pPr>
      <w:r>
        <w:rPr>
          <w:rFonts w:ascii="宋体" w:hAnsi="宋体" w:cs="宋体"/>
        </w:rPr>
        <w:t xml:space="preserve">3.3.2 </w:t>
      </w:r>
      <w:r>
        <w:rPr>
          <w:rFonts w:hint="eastAsia" w:ascii="宋体" w:hAnsi="宋体" w:cs="宋体"/>
        </w:rPr>
        <w:t>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14:paraId="2E49BBEE">
      <w:pPr>
        <w:pStyle w:val="4"/>
        <w:spacing w:line="400" w:lineRule="exact"/>
        <w:rPr>
          <w:rFonts w:ascii="宋体" w:hAnsi="宋体" w:eastAsia="宋体" w:cs="宋体"/>
          <w:sz w:val="21"/>
          <w:szCs w:val="21"/>
        </w:rPr>
      </w:pPr>
      <w:bookmarkStart w:id="76" w:name="_Toc389065166"/>
      <w:bookmarkStart w:id="77" w:name="_Toc498006667"/>
      <w:r>
        <w:rPr>
          <w:rFonts w:ascii="宋体" w:hAnsi="宋体" w:eastAsia="宋体" w:cs="宋体"/>
          <w:sz w:val="21"/>
          <w:szCs w:val="21"/>
        </w:rPr>
        <w:t xml:space="preserve">3.4 </w:t>
      </w:r>
      <w:r>
        <w:rPr>
          <w:rFonts w:hint="eastAsia" w:ascii="宋体" w:hAnsi="宋体" w:eastAsia="宋体" w:cs="宋体"/>
          <w:sz w:val="21"/>
          <w:szCs w:val="21"/>
        </w:rPr>
        <w:t>投标保证金</w:t>
      </w:r>
      <w:bookmarkEnd w:id="76"/>
      <w:bookmarkEnd w:id="77"/>
    </w:p>
    <w:p w14:paraId="284686A4">
      <w:pPr>
        <w:spacing w:line="400" w:lineRule="exact"/>
        <w:ind w:firstLine="420" w:firstLineChars="200"/>
        <w:rPr>
          <w:rFonts w:ascii="宋体"/>
        </w:rPr>
      </w:pPr>
      <w:r>
        <w:rPr>
          <w:rFonts w:ascii="宋体" w:hAnsi="宋体" w:cs="宋体"/>
        </w:rPr>
        <w:t xml:space="preserve">3.4.1 </w:t>
      </w:r>
      <w:r>
        <w:rPr>
          <w:rFonts w:hint="eastAsia" w:ascii="宋体" w:hAnsi="宋体" w:cs="宋体"/>
        </w:rPr>
        <w:t>投标人必须在投标截止时间前，按投标人须知前附表的规定递交投标保证金。</w:t>
      </w:r>
    </w:p>
    <w:p w14:paraId="4DD8F808">
      <w:pPr>
        <w:spacing w:line="400" w:lineRule="exact"/>
        <w:ind w:firstLine="420" w:firstLineChars="200"/>
        <w:rPr>
          <w:rFonts w:ascii="宋体"/>
        </w:rPr>
      </w:pPr>
      <w:r>
        <w:rPr>
          <w:rFonts w:ascii="宋体" w:hAnsi="宋体" w:cs="宋体"/>
        </w:rPr>
        <w:t xml:space="preserve">3.4.2 </w:t>
      </w:r>
      <w:r>
        <w:rPr>
          <w:rFonts w:hint="eastAsia" w:ascii="宋体" w:hAnsi="宋体" w:cs="宋体"/>
        </w:rPr>
        <w:t>投标人不按本章第</w:t>
      </w:r>
      <w:r>
        <w:rPr>
          <w:rFonts w:ascii="宋体" w:hAnsi="宋体" w:cs="宋体"/>
        </w:rPr>
        <w:t>3.4.1</w:t>
      </w:r>
      <w:r>
        <w:rPr>
          <w:rFonts w:hint="eastAsia" w:ascii="宋体" w:hAnsi="宋体" w:cs="宋体"/>
        </w:rPr>
        <w:t>项要求提交投标保证金的，其投标文件无效。</w:t>
      </w:r>
    </w:p>
    <w:p w14:paraId="4232A609">
      <w:pPr>
        <w:spacing w:line="400" w:lineRule="exact"/>
        <w:ind w:left="420" w:leftChars="200"/>
        <w:rPr>
          <w:rFonts w:ascii="宋体"/>
        </w:rPr>
      </w:pPr>
      <w:r>
        <w:rPr>
          <w:rFonts w:ascii="宋体" w:hAnsi="宋体" w:cs="宋体"/>
        </w:rPr>
        <w:t xml:space="preserve">3.4.3 </w:t>
      </w:r>
      <w:r>
        <w:rPr>
          <w:rFonts w:hint="eastAsia" w:ascii="宋体" w:hAnsi="宋体" w:cs="宋体"/>
          <w:highlight w:val="white"/>
        </w:rPr>
        <w:t>招标人与中标人签订合同后</w:t>
      </w:r>
      <w:r>
        <w:rPr>
          <w:rFonts w:ascii="宋体" w:hAnsi="宋体" w:cs="宋体"/>
          <w:highlight w:val="white"/>
        </w:rPr>
        <w:t>5</w:t>
      </w:r>
      <w:r>
        <w:rPr>
          <w:rFonts w:hint="eastAsia" w:ascii="宋体" w:hAnsi="宋体" w:cs="宋体"/>
          <w:highlight w:val="white"/>
        </w:rPr>
        <w:t>日内，向未中标的投标人和中标人退还投标保证金。</w:t>
      </w:r>
      <w:r>
        <w:rPr>
          <w:rFonts w:ascii="宋体" w:hAnsi="宋体" w:cs="宋体"/>
        </w:rPr>
        <w:t xml:space="preserve">3.4.4 </w:t>
      </w:r>
      <w:r>
        <w:rPr>
          <w:rFonts w:hint="eastAsia" w:ascii="宋体" w:hAnsi="宋体" w:cs="宋体"/>
        </w:rPr>
        <w:t>有下列情形之一的，投标保证金将不予退还：</w:t>
      </w:r>
    </w:p>
    <w:p w14:paraId="1DAB2921">
      <w:pPr>
        <w:spacing w:line="400" w:lineRule="exact"/>
        <w:ind w:firstLine="420" w:firstLineChars="200"/>
        <w:rPr>
          <w:rFonts w:ascii="宋体"/>
        </w:rPr>
      </w:pPr>
      <w:r>
        <w:rPr>
          <w:rFonts w:hint="eastAsia" w:ascii="宋体" w:hAnsi="宋体" w:cs="宋体"/>
        </w:rPr>
        <w:t>①投标人在投标有效期内撤销或修改其投标文件；</w:t>
      </w:r>
    </w:p>
    <w:p w14:paraId="0590961A">
      <w:pPr>
        <w:spacing w:line="400" w:lineRule="exact"/>
        <w:ind w:firstLine="420" w:firstLineChars="200"/>
        <w:rPr>
          <w:rFonts w:ascii="宋体"/>
        </w:rPr>
      </w:pPr>
      <w:r>
        <w:rPr>
          <w:rFonts w:hint="eastAsia" w:ascii="宋体" w:hAnsi="宋体" w:cs="宋体"/>
        </w:rPr>
        <w:t>②中标人无正当理由不与招标人订立合同；</w:t>
      </w:r>
    </w:p>
    <w:p w14:paraId="6DBB9E01">
      <w:pPr>
        <w:spacing w:line="400" w:lineRule="exact"/>
        <w:ind w:firstLine="420" w:firstLineChars="200"/>
        <w:rPr>
          <w:rFonts w:ascii="宋体"/>
        </w:rPr>
      </w:pPr>
      <w:r>
        <w:rPr>
          <w:rFonts w:hint="eastAsia" w:ascii="宋体" w:hAnsi="宋体" w:cs="宋体"/>
        </w:rPr>
        <w:t>③中标人在签订合同时向招标人提出附加条件；</w:t>
      </w:r>
    </w:p>
    <w:p w14:paraId="0D716AB3">
      <w:pPr>
        <w:spacing w:line="400" w:lineRule="exact"/>
        <w:ind w:firstLine="420" w:firstLineChars="200"/>
        <w:rPr>
          <w:rFonts w:ascii="宋体"/>
        </w:rPr>
      </w:pPr>
      <w:r>
        <w:rPr>
          <w:rFonts w:hint="eastAsia" w:ascii="宋体" w:hAnsi="宋体" w:cs="宋体"/>
        </w:rPr>
        <w:t>④中标人不按照招标文件要求提交履约保证金的。</w:t>
      </w:r>
    </w:p>
    <w:p w14:paraId="3A2456AC">
      <w:pPr>
        <w:pStyle w:val="4"/>
        <w:spacing w:line="400" w:lineRule="exact"/>
        <w:rPr>
          <w:rFonts w:ascii="宋体" w:hAnsi="宋体" w:eastAsia="宋体" w:cs="宋体"/>
          <w:sz w:val="21"/>
          <w:szCs w:val="21"/>
        </w:rPr>
      </w:pPr>
      <w:bookmarkStart w:id="78" w:name="_Toc498006668"/>
      <w:bookmarkStart w:id="79" w:name="_Toc389065167"/>
      <w:r>
        <w:rPr>
          <w:rFonts w:ascii="宋体" w:hAnsi="宋体" w:eastAsia="宋体" w:cs="宋体"/>
          <w:sz w:val="21"/>
          <w:szCs w:val="21"/>
        </w:rPr>
        <w:t xml:space="preserve">3.5 </w:t>
      </w:r>
      <w:r>
        <w:rPr>
          <w:rFonts w:hint="eastAsia" w:ascii="宋体" w:hAnsi="宋体" w:eastAsia="宋体" w:cs="宋体"/>
          <w:sz w:val="21"/>
          <w:szCs w:val="21"/>
        </w:rPr>
        <w:t>备选投标方案</w:t>
      </w:r>
      <w:bookmarkEnd w:id="78"/>
      <w:bookmarkEnd w:id="79"/>
    </w:p>
    <w:p w14:paraId="0EF37940">
      <w:pPr>
        <w:spacing w:line="400" w:lineRule="exact"/>
        <w:ind w:firstLine="420" w:firstLineChars="200"/>
        <w:rPr>
          <w:rFonts w:ascii="宋体"/>
        </w:rPr>
      </w:pPr>
      <w:r>
        <w:rPr>
          <w:rFonts w:hint="eastAsia" w:ascii="宋体" w:hAnsi="宋体" w:cs="宋体"/>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797DFF7C">
      <w:pPr>
        <w:pStyle w:val="4"/>
        <w:spacing w:line="400" w:lineRule="exact"/>
        <w:rPr>
          <w:rFonts w:ascii="宋体" w:hAnsi="宋体" w:eastAsia="宋体" w:cs="宋体"/>
          <w:sz w:val="21"/>
          <w:szCs w:val="21"/>
        </w:rPr>
      </w:pPr>
      <w:bookmarkStart w:id="80" w:name="_Toc389065168"/>
      <w:bookmarkStart w:id="81" w:name="_Toc498006669"/>
      <w:r>
        <w:rPr>
          <w:rFonts w:ascii="宋体" w:hAnsi="宋体" w:eastAsia="宋体" w:cs="宋体"/>
          <w:sz w:val="21"/>
          <w:szCs w:val="21"/>
        </w:rPr>
        <w:t xml:space="preserve">3.6 </w:t>
      </w:r>
      <w:r>
        <w:rPr>
          <w:rFonts w:hint="eastAsia" w:ascii="宋体" w:hAnsi="宋体" w:eastAsia="宋体" w:cs="宋体"/>
          <w:sz w:val="21"/>
          <w:szCs w:val="21"/>
        </w:rPr>
        <w:t>投标文件的编制</w:t>
      </w:r>
      <w:bookmarkEnd w:id="80"/>
      <w:bookmarkEnd w:id="81"/>
    </w:p>
    <w:p w14:paraId="1B48E93A">
      <w:pPr>
        <w:spacing w:line="400" w:lineRule="exact"/>
        <w:ind w:firstLine="420" w:firstLineChars="200"/>
        <w:rPr>
          <w:rFonts w:ascii="宋体"/>
        </w:rPr>
      </w:pPr>
      <w:r>
        <w:rPr>
          <w:rFonts w:ascii="宋体" w:hAnsi="宋体" w:cs="宋体"/>
        </w:rPr>
        <w:t xml:space="preserve">3.6.1 </w:t>
      </w:r>
      <w:r>
        <w:rPr>
          <w:rFonts w:hint="eastAsia" w:ascii="宋体" w:hAnsi="宋体" w:cs="宋体"/>
        </w:rPr>
        <w:t>投标文件应按第七章“投标文件格式”进行编写，如有必要可自行增加，作为投标文件的组成部分。</w:t>
      </w:r>
    </w:p>
    <w:p w14:paraId="00C51612">
      <w:pPr>
        <w:spacing w:line="400" w:lineRule="exact"/>
        <w:ind w:firstLine="420" w:firstLineChars="200"/>
        <w:rPr>
          <w:rFonts w:ascii="宋体"/>
        </w:rPr>
      </w:pPr>
      <w:r>
        <w:rPr>
          <w:rFonts w:ascii="宋体" w:hAnsi="宋体" w:cs="宋体"/>
        </w:rPr>
        <w:t>3.6.</w:t>
      </w:r>
      <w:r>
        <w:rPr>
          <w:rFonts w:hint="eastAsia" w:ascii="宋体" w:hAnsi="宋体" w:cs="宋体"/>
        </w:rPr>
        <w:t>2投标文件应当对招标文件有关工期、投标有效期、质量要求、技术标准和要求、招标范围等实质性内容作出响应。</w:t>
      </w:r>
    </w:p>
    <w:p w14:paraId="0FDE034F">
      <w:pPr>
        <w:pStyle w:val="4"/>
        <w:spacing w:line="400" w:lineRule="exact"/>
        <w:rPr>
          <w:rFonts w:ascii="宋体" w:hAnsi="宋体" w:eastAsia="宋体" w:cs="宋体"/>
          <w:sz w:val="21"/>
          <w:szCs w:val="21"/>
        </w:rPr>
      </w:pPr>
      <w:bookmarkStart w:id="82" w:name="_Toc389065169"/>
      <w:bookmarkStart w:id="83" w:name="_Toc498006671"/>
      <w:r>
        <w:rPr>
          <w:rFonts w:ascii="宋体" w:hAnsi="宋体" w:eastAsia="宋体" w:cs="宋体"/>
          <w:sz w:val="21"/>
          <w:szCs w:val="21"/>
        </w:rPr>
        <w:t xml:space="preserve">4 </w:t>
      </w:r>
      <w:r>
        <w:rPr>
          <w:rFonts w:hint="eastAsia" w:ascii="宋体" w:hAnsi="宋体" w:eastAsia="宋体" w:cs="宋体"/>
          <w:sz w:val="21"/>
          <w:szCs w:val="21"/>
        </w:rPr>
        <w:t>投标</w:t>
      </w:r>
      <w:bookmarkEnd w:id="82"/>
      <w:bookmarkEnd w:id="83"/>
    </w:p>
    <w:p w14:paraId="2F1D8E52">
      <w:pPr>
        <w:pStyle w:val="4"/>
        <w:spacing w:line="400" w:lineRule="exact"/>
        <w:rPr>
          <w:rFonts w:ascii="宋体" w:hAnsi="宋体" w:eastAsia="宋体" w:cs="宋体"/>
          <w:sz w:val="21"/>
          <w:szCs w:val="21"/>
        </w:rPr>
      </w:pPr>
      <w:bookmarkStart w:id="84" w:name="_Toc389065170"/>
      <w:bookmarkStart w:id="85" w:name="_Toc498006672"/>
      <w:r>
        <w:rPr>
          <w:rFonts w:ascii="宋体" w:hAnsi="宋体" w:eastAsia="宋体" w:cs="宋体"/>
          <w:sz w:val="21"/>
          <w:szCs w:val="21"/>
        </w:rPr>
        <w:t xml:space="preserve">4.1 </w:t>
      </w:r>
      <w:r>
        <w:rPr>
          <w:rFonts w:hint="eastAsia" w:ascii="宋体" w:hAnsi="宋体" w:eastAsia="宋体" w:cs="宋体"/>
          <w:sz w:val="21"/>
          <w:szCs w:val="21"/>
        </w:rPr>
        <w:t>投标备份文件的密封和标记</w:t>
      </w:r>
      <w:bookmarkEnd w:id="84"/>
      <w:bookmarkEnd w:id="85"/>
    </w:p>
    <w:p w14:paraId="15657970">
      <w:pPr>
        <w:spacing w:line="400" w:lineRule="exact"/>
        <w:ind w:firstLine="420" w:firstLineChars="200"/>
        <w:jc w:val="left"/>
        <w:rPr>
          <w:rFonts w:ascii="宋体" w:hAnsi="宋体" w:cs="宋体"/>
          <w:b/>
          <w:color w:val="0D0D0D" w:themeColor="text1" w:themeTint="F2"/>
          <w:u w:val="single"/>
          <w14:textFill>
            <w14:solidFill>
              <w14:schemeClr w14:val="tx1">
                <w14:lumMod w14:val="95000"/>
                <w14:lumOff w14:val="5000"/>
              </w14:schemeClr>
            </w14:solidFill>
          </w14:textFill>
        </w:rPr>
      </w:pPr>
      <w:r>
        <w:rPr>
          <w:rFonts w:hint="eastAsia" w:ascii="宋体" w:hAnsi="宋体" w:cs="宋体"/>
          <w:color w:val="0D0D0D" w:themeColor="text1" w:themeTint="F2"/>
          <w14:textFill>
            <w14:solidFill>
              <w14:schemeClr w14:val="tx1">
                <w14:lumMod w14:val="95000"/>
                <w14:lumOff w14:val="5000"/>
              </w14:schemeClr>
            </w14:solidFill>
          </w14:textFill>
        </w:rPr>
        <w:t>4.1.1投标人应按招标文件的规定，向招标人提交</w:t>
      </w:r>
      <w:r>
        <w:rPr>
          <w:rFonts w:hint="eastAsia" w:ascii="宋体" w:hAnsi="宋体" w:cs="宋体"/>
          <w:b/>
          <w:color w:val="0D0D0D" w:themeColor="text1" w:themeTint="F2"/>
          <w:u w:val="single"/>
          <w14:textFill>
            <w14:solidFill>
              <w14:schemeClr w14:val="tx1">
                <w14:lumMod w14:val="95000"/>
                <w14:lumOff w14:val="5000"/>
              </w14:schemeClr>
            </w14:solidFill>
          </w14:textFill>
        </w:rPr>
        <w:t>三份纸质投标文件</w:t>
      </w:r>
      <w:r>
        <w:rPr>
          <w:rFonts w:hint="eastAsia" w:ascii="宋体" w:hAnsi="宋体" w:cs="宋体"/>
          <w:color w:val="0D0D0D" w:themeColor="text1" w:themeTint="F2"/>
          <w14:textFill>
            <w14:solidFill>
              <w14:schemeClr w14:val="tx1">
                <w14:lumMod w14:val="95000"/>
                <w14:lumOff w14:val="5000"/>
              </w14:schemeClr>
            </w14:solidFill>
          </w14:textFill>
        </w:rPr>
        <w:t>（</w:t>
      </w:r>
      <w:r>
        <w:rPr>
          <w:rFonts w:hint="eastAsia" w:ascii="宋体" w:hAnsi="宋体" w:cs="宋体"/>
          <w:b/>
          <w:bCs/>
          <w:color w:val="0D0D0D" w:themeColor="text1" w:themeTint="F2"/>
          <w:u w:val="single"/>
          <w14:textFill>
            <w14:solidFill>
              <w14:schemeClr w14:val="tx1">
                <w14:lumMod w14:val="95000"/>
                <w14:lumOff w14:val="5000"/>
              </w14:schemeClr>
            </w14:solidFill>
          </w14:textFill>
        </w:rPr>
        <w:t>包括资格审查文件、商务标文件</w:t>
      </w:r>
      <w:r>
        <w:rPr>
          <w:rFonts w:hint="eastAsia" w:ascii="宋体" w:hAnsi="宋体" w:cs="宋体"/>
          <w:color w:val="0D0D0D" w:themeColor="text1" w:themeTint="F2"/>
          <w:u w:val="single"/>
          <w14:textFill>
            <w14:solidFill>
              <w14:schemeClr w14:val="tx1">
                <w14:lumMod w14:val="95000"/>
                <w14:lumOff w14:val="5000"/>
              </w14:schemeClr>
            </w14:solidFill>
          </w14:textFill>
        </w:rPr>
        <w:t>）</w:t>
      </w:r>
      <w:r>
        <w:rPr>
          <w:rFonts w:hint="eastAsia"/>
          <w:b/>
          <w:bCs/>
        </w:rPr>
        <w:t>并提供正本纸质投标文件的PDF扫描件壹份（存于空白U盘或光盘上，能清楚地显示印鉴及签字），随纸质投标文件在投标截止时间前一并递交</w:t>
      </w:r>
      <w:r>
        <w:rPr>
          <w:rFonts w:hint="eastAsia" w:ascii="宋体" w:hAnsi="宋体" w:cs="宋体"/>
          <w:color w:val="0D0D0D" w:themeColor="text1" w:themeTint="F2"/>
          <w14:textFill>
            <w14:solidFill>
              <w14:schemeClr w14:val="tx1">
                <w14:lumMod w14:val="95000"/>
                <w14:lumOff w14:val="5000"/>
              </w14:schemeClr>
            </w14:solidFill>
          </w14:textFill>
        </w:rPr>
        <w:t>，其中</w:t>
      </w:r>
      <w:r>
        <w:rPr>
          <w:rFonts w:hint="eastAsia" w:ascii="宋体" w:hAnsi="宋体" w:cs="宋体"/>
          <w:b/>
          <w:color w:val="0D0D0D" w:themeColor="text1" w:themeTint="F2"/>
          <w:u w:val="single"/>
          <w14:textFill>
            <w14:solidFill>
              <w14:schemeClr w14:val="tx1">
                <w14:lumMod w14:val="95000"/>
                <w14:lumOff w14:val="5000"/>
              </w14:schemeClr>
            </w14:solidFill>
          </w14:textFill>
        </w:rPr>
        <w:t>纸质投标文件</w:t>
      </w:r>
      <w:r>
        <w:rPr>
          <w:rFonts w:hint="eastAsia" w:ascii="宋体" w:hAnsi="宋体" w:cs="宋体"/>
          <w:color w:val="0D0D0D" w:themeColor="text1" w:themeTint="F2"/>
          <w14:textFill>
            <w14:solidFill>
              <w14:schemeClr w14:val="tx1">
                <w14:lumMod w14:val="95000"/>
                <w14:lumOff w14:val="5000"/>
              </w14:schemeClr>
            </w14:solidFill>
          </w14:textFill>
        </w:rPr>
        <w:t>正本一份、副本二份，并在（</w:t>
      </w:r>
      <w:r>
        <w:rPr>
          <w:rFonts w:hint="eastAsia" w:ascii="宋体" w:hAnsi="宋体" w:cs="宋体"/>
          <w:b/>
          <w:bCs/>
          <w:color w:val="0D0D0D" w:themeColor="text1" w:themeTint="F2"/>
          <w:u w:val="single"/>
          <w14:textFill>
            <w14:solidFill>
              <w14:schemeClr w14:val="tx1">
                <w14:lumMod w14:val="95000"/>
                <w14:lumOff w14:val="5000"/>
              </w14:schemeClr>
            </w14:solidFill>
          </w14:textFill>
        </w:rPr>
        <w:t>资格审查文件、商务标文件</w:t>
      </w:r>
      <w:r>
        <w:rPr>
          <w:rFonts w:hint="eastAsia" w:ascii="宋体" w:hAnsi="宋体" w:cs="宋体"/>
          <w:color w:val="0D0D0D" w:themeColor="text1" w:themeTint="F2"/>
          <w:u w:val="single"/>
          <w14:textFill>
            <w14:solidFill>
              <w14:schemeClr w14:val="tx1">
                <w14:lumMod w14:val="95000"/>
                <w14:lumOff w14:val="5000"/>
              </w14:schemeClr>
            </w14:solidFill>
          </w14:textFill>
        </w:rPr>
        <w:t>）</w:t>
      </w:r>
      <w:r>
        <w:rPr>
          <w:rFonts w:hint="eastAsia" w:ascii="宋体" w:hAnsi="宋体" w:cs="宋体"/>
          <w:color w:val="0D0D0D" w:themeColor="text1" w:themeTint="F2"/>
          <w14:textFill>
            <w14:solidFill>
              <w14:schemeClr w14:val="tx1">
                <w14:lumMod w14:val="95000"/>
                <w14:lumOff w14:val="5000"/>
              </w14:schemeClr>
            </w14:solidFill>
          </w14:textFill>
        </w:rPr>
        <w:t>封面上注明“正本”或“副本”字样，当正本与副本不一致时，以正本为准；</w:t>
      </w:r>
      <w:r>
        <w:rPr>
          <w:rFonts w:hint="eastAsia" w:ascii="宋体" w:hAnsi="宋体" w:cs="宋体"/>
          <w:b/>
          <w:color w:val="0D0D0D" w:themeColor="text1" w:themeTint="F2"/>
          <w:u w:val="single"/>
          <w14:textFill>
            <w14:solidFill>
              <w14:schemeClr w14:val="tx1">
                <w14:lumMod w14:val="95000"/>
                <w14:lumOff w14:val="5000"/>
              </w14:schemeClr>
            </w14:solidFill>
          </w14:textFill>
        </w:rPr>
        <w:t>（</w:t>
      </w:r>
      <w:r>
        <w:rPr>
          <w:rFonts w:hint="eastAsia" w:ascii="宋体" w:hAnsi="宋体" w:cs="宋体"/>
          <w:b/>
          <w:bCs/>
          <w:color w:val="0D0D0D" w:themeColor="text1" w:themeTint="F2"/>
          <w:u w:val="single"/>
          <w14:textFill>
            <w14:solidFill>
              <w14:schemeClr w14:val="tx1">
                <w14:lumMod w14:val="95000"/>
                <w14:lumOff w14:val="5000"/>
              </w14:schemeClr>
            </w14:solidFill>
          </w14:textFill>
        </w:rPr>
        <w:t>资格审查文件、商务标文件</w:t>
      </w:r>
      <w:r>
        <w:rPr>
          <w:rFonts w:hint="eastAsia" w:ascii="宋体" w:hAnsi="宋体" w:cs="宋体"/>
          <w:b/>
          <w:color w:val="0D0D0D" w:themeColor="text1" w:themeTint="F2"/>
          <w:u w:val="single"/>
          <w14:textFill>
            <w14:solidFill>
              <w14:schemeClr w14:val="tx1">
                <w14:lumMod w14:val="95000"/>
                <w14:lumOff w14:val="5000"/>
              </w14:schemeClr>
            </w14:solidFill>
          </w14:textFill>
        </w:rPr>
        <w:t>）封面上还应注明项目名称并加盖投标单位公章、法定代表人签字或印鉴或委托代理人签字。</w:t>
      </w:r>
    </w:p>
    <w:p w14:paraId="27583096">
      <w:pPr>
        <w:spacing w:line="400" w:lineRule="exact"/>
        <w:ind w:firstLine="420" w:firstLineChars="200"/>
        <w:jc w:val="left"/>
        <w:rPr>
          <w:rFonts w:ascii="宋体" w:cs="宋体"/>
          <w:color w:val="0D0D0D" w:themeColor="text1" w:themeTint="F2"/>
          <w14:textFill>
            <w14:solidFill>
              <w14:schemeClr w14:val="tx1">
                <w14:lumMod w14:val="95000"/>
                <w14:lumOff w14:val="5000"/>
              </w14:schemeClr>
            </w14:solidFill>
          </w14:textFill>
        </w:rPr>
      </w:pPr>
      <w:r>
        <w:rPr>
          <w:rFonts w:hint="eastAsia" w:ascii="宋体" w:hAnsi="宋体" w:cs="宋体"/>
          <w:color w:val="0D0D0D" w:themeColor="text1" w:themeTint="F2"/>
          <w14:textFill>
            <w14:solidFill>
              <w14:schemeClr w14:val="tx1">
                <w14:lumMod w14:val="95000"/>
                <w14:lumOff w14:val="5000"/>
              </w14:schemeClr>
            </w14:solidFill>
          </w14:textFill>
        </w:rPr>
        <w:t>4.1.2投标文件正副本均应使用</w:t>
      </w:r>
      <w:r>
        <w:rPr>
          <w:rFonts w:ascii="宋体" w:hAnsi="宋体" w:cs="宋体"/>
          <w:color w:val="0D0D0D" w:themeColor="text1" w:themeTint="F2"/>
          <w14:textFill>
            <w14:solidFill>
              <w14:schemeClr w14:val="tx1">
                <w14:lumMod w14:val="95000"/>
                <w14:lumOff w14:val="5000"/>
              </w14:schemeClr>
            </w14:solidFill>
          </w14:textFill>
        </w:rPr>
        <w:t>A4</w:t>
      </w:r>
      <w:r>
        <w:rPr>
          <w:rFonts w:hint="eastAsia" w:ascii="宋体" w:hAnsi="宋体" w:cs="宋体"/>
          <w:color w:val="0D0D0D" w:themeColor="text1" w:themeTint="F2"/>
          <w14:textFill>
            <w14:solidFill>
              <w14:schemeClr w14:val="tx1">
                <w14:lumMod w14:val="95000"/>
                <w14:lumOff w14:val="5000"/>
              </w14:schemeClr>
            </w14:solidFill>
          </w14:textFill>
        </w:rPr>
        <w:t>纸统一装订，且均应使用不能擦去的墨水书写或打印，按要求在投标文件上加盖投标人单位公章并由法定代表人签字或盖章或由委托代理人签字。</w:t>
      </w:r>
    </w:p>
    <w:p w14:paraId="6B748340">
      <w:pPr>
        <w:spacing w:line="400" w:lineRule="exact"/>
        <w:ind w:firstLine="420" w:firstLineChars="200"/>
        <w:jc w:val="left"/>
        <w:rPr>
          <w:rFonts w:ascii="宋体" w:hAnsi="宋体" w:cs="宋体"/>
          <w:color w:val="0D0D0D" w:themeColor="text1" w:themeTint="F2"/>
          <w14:textFill>
            <w14:solidFill>
              <w14:schemeClr w14:val="tx1">
                <w14:lumMod w14:val="95000"/>
                <w14:lumOff w14:val="5000"/>
              </w14:schemeClr>
            </w14:solidFill>
          </w14:textFill>
        </w:rPr>
      </w:pPr>
      <w:r>
        <w:rPr>
          <w:rFonts w:hint="eastAsia" w:ascii="宋体" w:hAnsi="宋体" w:cs="宋体"/>
          <w:color w:val="0D0D0D" w:themeColor="text1" w:themeTint="F2"/>
          <w14:textFill>
            <w14:solidFill>
              <w14:schemeClr w14:val="tx1">
                <w14:lumMod w14:val="95000"/>
                <w14:lumOff w14:val="5000"/>
              </w14:schemeClr>
            </w14:solidFill>
          </w14:textFill>
        </w:rPr>
        <w:t>4.1.3全套投标文件应无修改和行间插字，除非这些修改是根据“招标文件修改通知”的要求进行的，或者是投标人明显笔误必须修改的。不论何种原因造成涂改、插字和删除，都应由投标文件签署人加盖印鉴。</w:t>
      </w:r>
    </w:p>
    <w:p w14:paraId="761AE227">
      <w:pPr>
        <w:spacing w:line="400" w:lineRule="exact"/>
        <w:ind w:firstLine="420" w:firstLineChars="200"/>
        <w:jc w:val="left"/>
        <w:rPr>
          <w:rFonts w:ascii="宋体" w:hAnsi="宋体" w:cs="宋体"/>
        </w:rPr>
      </w:pPr>
      <w:r>
        <w:rPr>
          <w:rFonts w:hint="eastAsia" w:ascii="宋体" w:hAnsi="宋体" w:cs="宋体"/>
        </w:rPr>
        <w:t>4.1.4</w:t>
      </w:r>
      <w:r>
        <w:rPr>
          <w:rFonts w:hint="eastAsia" w:ascii="宋体" w:hAnsi="宋体" w:cs="宋体"/>
          <w:b/>
        </w:rPr>
        <w:t>投标文件中的资格审查文件、商务标文件这两部分必须分开单独密封；“正本”或“副本”可分开密封，也可统一密封；所有封袋上都应写明项目名称、投标单位名称，并注明“资格审查文件”或 “商务标文件”并加盖投标单位公章、法定代表人签字或印鉴或委托代理人签字。</w:t>
      </w:r>
      <w:r>
        <w:rPr>
          <w:rFonts w:hint="eastAsia"/>
          <w:b/>
          <w:bCs/>
          <w:color w:val="000000"/>
        </w:rPr>
        <w:t>存于U盘或光盘的投标文件PDF扫描件，U盘或光盘须单独密封。</w:t>
      </w:r>
    </w:p>
    <w:p w14:paraId="78A6B95C">
      <w:pPr>
        <w:rPr>
          <w:rFonts w:ascii="宋体" w:hAnsi="宋体" w:cs="宋体"/>
        </w:rPr>
      </w:pPr>
      <w:bookmarkStart w:id="86" w:name="_Toc498006673"/>
      <w:bookmarkStart w:id="87" w:name="_Toc389065171"/>
      <w:r>
        <w:rPr>
          <w:rFonts w:ascii="宋体" w:hAnsi="宋体" w:cs="宋体"/>
        </w:rPr>
        <w:t xml:space="preserve">4.2 </w:t>
      </w:r>
      <w:r>
        <w:rPr>
          <w:rFonts w:hint="eastAsia" w:ascii="宋体" w:hAnsi="宋体" w:cs="宋体"/>
        </w:rPr>
        <w:t>投标文件的递交</w:t>
      </w:r>
      <w:bookmarkEnd w:id="86"/>
      <w:bookmarkEnd w:id="87"/>
    </w:p>
    <w:p w14:paraId="74C7512C">
      <w:pPr>
        <w:spacing w:line="400" w:lineRule="exact"/>
        <w:ind w:firstLine="420" w:firstLineChars="200"/>
        <w:rPr>
          <w:rFonts w:ascii="宋体"/>
        </w:rPr>
      </w:pPr>
      <w:r>
        <w:rPr>
          <w:rFonts w:ascii="宋体" w:hAnsi="宋体" w:cs="宋体"/>
        </w:rPr>
        <w:t>4.2.1</w:t>
      </w:r>
      <w:r>
        <w:rPr>
          <w:rFonts w:hint="eastAsia" w:ascii="宋体" w:hAnsi="宋体" w:cs="宋体"/>
        </w:rPr>
        <w:t>投标人应在投标人须知前附表规定的投标截止时间前，向招标人递交纸质投标文件。</w:t>
      </w:r>
    </w:p>
    <w:p w14:paraId="28A93A6E">
      <w:pPr>
        <w:spacing w:line="400" w:lineRule="exact"/>
        <w:ind w:firstLine="420" w:firstLineChars="200"/>
        <w:rPr>
          <w:rFonts w:ascii="宋体"/>
        </w:rPr>
      </w:pPr>
      <w:r>
        <w:rPr>
          <w:rFonts w:ascii="宋体" w:hAnsi="宋体" w:cs="宋体"/>
        </w:rPr>
        <w:t>4.2.</w:t>
      </w:r>
      <w:r>
        <w:rPr>
          <w:rFonts w:hint="eastAsia" w:ascii="宋体" w:hAnsi="宋体" w:cs="宋体"/>
        </w:rPr>
        <w:t>2投标人递交投标文件的地点：见投标人须知前附表。</w:t>
      </w:r>
    </w:p>
    <w:p w14:paraId="620E3293">
      <w:pPr>
        <w:spacing w:line="400" w:lineRule="exact"/>
        <w:ind w:firstLine="420" w:firstLineChars="200"/>
        <w:rPr>
          <w:rFonts w:ascii="宋体"/>
        </w:rPr>
      </w:pPr>
      <w:r>
        <w:rPr>
          <w:rFonts w:ascii="宋体" w:hAnsi="宋体" w:cs="宋体"/>
        </w:rPr>
        <w:t>4.2.</w:t>
      </w:r>
      <w:r>
        <w:rPr>
          <w:rFonts w:hint="eastAsia" w:ascii="宋体" w:hAnsi="宋体" w:cs="宋体"/>
        </w:rPr>
        <w:t>3逾期递交投标文件的，招标人不予受理。</w:t>
      </w:r>
    </w:p>
    <w:p w14:paraId="1904BCB5">
      <w:pPr>
        <w:pStyle w:val="4"/>
        <w:spacing w:line="400" w:lineRule="exact"/>
        <w:rPr>
          <w:rFonts w:ascii="宋体" w:hAnsi="宋体" w:eastAsia="宋体" w:cs="宋体"/>
          <w:sz w:val="21"/>
          <w:szCs w:val="21"/>
        </w:rPr>
      </w:pPr>
      <w:bookmarkStart w:id="88" w:name="_Toc498006674"/>
      <w:bookmarkStart w:id="89" w:name="_Toc389065172"/>
      <w:r>
        <w:rPr>
          <w:rFonts w:ascii="宋体" w:hAnsi="宋体" w:eastAsia="宋体" w:cs="宋体"/>
          <w:sz w:val="21"/>
          <w:szCs w:val="21"/>
        </w:rPr>
        <w:t xml:space="preserve">4.3 </w:t>
      </w:r>
      <w:r>
        <w:rPr>
          <w:rFonts w:hint="eastAsia" w:ascii="宋体" w:hAnsi="宋体" w:eastAsia="宋体" w:cs="宋体"/>
          <w:sz w:val="21"/>
          <w:szCs w:val="21"/>
        </w:rPr>
        <w:t>投标文件的修改与撤回</w:t>
      </w:r>
      <w:bookmarkEnd w:id="88"/>
      <w:bookmarkEnd w:id="89"/>
    </w:p>
    <w:p w14:paraId="5904C5DB">
      <w:pPr>
        <w:spacing w:line="400" w:lineRule="exact"/>
        <w:ind w:firstLine="420" w:firstLineChars="200"/>
        <w:rPr>
          <w:rFonts w:ascii="宋体"/>
        </w:rPr>
      </w:pPr>
      <w:r>
        <w:rPr>
          <w:rFonts w:hint="eastAsia" w:ascii="宋体" w:hAnsi="宋体" w:cs="宋体"/>
        </w:rPr>
        <w:t>在本章第</w:t>
      </w:r>
      <w:r>
        <w:rPr>
          <w:rFonts w:ascii="宋体" w:hAnsi="宋体" w:cs="宋体"/>
        </w:rPr>
        <w:t>4.2.1</w:t>
      </w:r>
      <w:r>
        <w:rPr>
          <w:rFonts w:hint="eastAsia" w:ascii="宋体" w:hAnsi="宋体" w:cs="宋体"/>
        </w:rPr>
        <w:t>项规定的投标截止时间前，投标人可以修改或撤回已递交的投标文件。</w:t>
      </w:r>
      <w:bookmarkStart w:id="90" w:name="_Toc389065173"/>
    </w:p>
    <w:p w14:paraId="2E16028D">
      <w:pPr>
        <w:pStyle w:val="4"/>
        <w:spacing w:line="400" w:lineRule="exact"/>
        <w:rPr>
          <w:rFonts w:ascii="宋体" w:hAnsi="宋体" w:eastAsia="宋体" w:cs="宋体"/>
          <w:sz w:val="21"/>
          <w:szCs w:val="21"/>
        </w:rPr>
      </w:pPr>
      <w:bookmarkStart w:id="91" w:name="_Toc498006675"/>
      <w:r>
        <w:rPr>
          <w:rFonts w:ascii="宋体" w:hAnsi="宋体" w:eastAsia="宋体" w:cs="宋体"/>
          <w:sz w:val="21"/>
          <w:szCs w:val="21"/>
        </w:rPr>
        <w:t xml:space="preserve">5 </w:t>
      </w:r>
      <w:r>
        <w:rPr>
          <w:rFonts w:hint="eastAsia" w:ascii="宋体" w:hAnsi="宋体" w:eastAsia="宋体" w:cs="宋体"/>
          <w:sz w:val="21"/>
          <w:szCs w:val="21"/>
        </w:rPr>
        <w:t>开标</w:t>
      </w:r>
      <w:bookmarkEnd w:id="90"/>
      <w:bookmarkEnd w:id="91"/>
    </w:p>
    <w:p w14:paraId="6BE53E8F">
      <w:pPr>
        <w:pStyle w:val="4"/>
        <w:spacing w:line="400" w:lineRule="exact"/>
        <w:rPr>
          <w:rFonts w:ascii="宋体" w:hAnsi="宋体" w:eastAsia="宋体" w:cs="宋体"/>
          <w:sz w:val="21"/>
          <w:szCs w:val="21"/>
        </w:rPr>
      </w:pPr>
      <w:bookmarkStart w:id="92" w:name="_Toc389065174"/>
      <w:bookmarkStart w:id="93" w:name="_Toc498006676"/>
      <w:r>
        <w:rPr>
          <w:rFonts w:ascii="宋体" w:hAnsi="宋体" w:eastAsia="宋体" w:cs="宋体"/>
          <w:sz w:val="21"/>
          <w:szCs w:val="21"/>
        </w:rPr>
        <w:t xml:space="preserve">5.1 </w:t>
      </w:r>
      <w:r>
        <w:rPr>
          <w:rFonts w:hint="eastAsia" w:ascii="宋体" w:hAnsi="宋体" w:eastAsia="宋体" w:cs="宋体"/>
          <w:sz w:val="21"/>
          <w:szCs w:val="21"/>
        </w:rPr>
        <w:t>开标时间、地点</w:t>
      </w:r>
      <w:bookmarkEnd w:id="92"/>
      <w:r>
        <w:rPr>
          <w:rFonts w:hint="eastAsia" w:ascii="宋体" w:hAnsi="宋体" w:eastAsia="宋体" w:cs="宋体"/>
          <w:sz w:val="21"/>
          <w:szCs w:val="21"/>
        </w:rPr>
        <w:t>和投标人参会代表</w:t>
      </w:r>
      <w:bookmarkEnd w:id="93"/>
    </w:p>
    <w:p w14:paraId="1E7DF3AC">
      <w:pPr>
        <w:spacing w:line="400" w:lineRule="exact"/>
        <w:ind w:firstLine="420" w:firstLineChars="200"/>
        <w:rPr>
          <w:rFonts w:ascii="宋体"/>
        </w:rPr>
      </w:pPr>
      <w:r>
        <w:rPr>
          <w:rFonts w:ascii="宋体" w:hAnsi="宋体" w:cs="宋体"/>
        </w:rPr>
        <w:t>5.1.1</w:t>
      </w:r>
      <w:r>
        <w:rPr>
          <w:rFonts w:hint="eastAsia" w:ascii="宋体" w:hAnsi="宋体" w:cs="宋体"/>
        </w:rPr>
        <w:t>招标人在投标人须知前附表规定的时间和地点公开开标；</w:t>
      </w:r>
    </w:p>
    <w:p w14:paraId="1FD0F1CD">
      <w:pPr>
        <w:spacing w:line="400" w:lineRule="exact"/>
        <w:ind w:firstLine="420" w:firstLineChars="200"/>
        <w:rPr>
          <w:rFonts w:ascii="宋体"/>
        </w:rPr>
      </w:pPr>
      <w:r>
        <w:rPr>
          <w:rFonts w:ascii="宋体" w:hAnsi="宋体" w:cs="宋体"/>
        </w:rPr>
        <w:t>5.1.2</w:t>
      </w:r>
      <w:r>
        <w:rPr>
          <w:rFonts w:hint="eastAsia" w:ascii="宋体" w:hAnsi="宋体" w:cs="宋体"/>
        </w:rPr>
        <w:t>参加开标会的投标人代表的要求见投标人须知前附表。未按要求派相关人员参加开标的，其投标将被拒绝。</w:t>
      </w:r>
    </w:p>
    <w:p w14:paraId="6DC09F46">
      <w:pPr>
        <w:pStyle w:val="4"/>
        <w:spacing w:line="400" w:lineRule="exact"/>
        <w:rPr>
          <w:rFonts w:ascii="宋体" w:hAnsi="宋体" w:eastAsia="宋体" w:cs="宋体"/>
          <w:sz w:val="21"/>
          <w:szCs w:val="21"/>
        </w:rPr>
      </w:pPr>
      <w:bookmarkStart w:id="94" w:name="_Toc498006677"/>
      <w:bookmarkStart w:id="95" w:name="_Toc389065175"/>
      <w:r>
        <w:rPr>
          <w:rFonts w:ascii="宋体" w:hAnsi="宋体" w:eastAsia="宋体" w:cs="宋体"/>
          <w:sz w:val="21"/>
          <w:szCs w:val="21"/>
        </w:rPr>
        <w:t xml:space="preserve">5.2 </w:t>
      </w:r>
      <w:r>
        <w:rPr>
          <w:rFonts w:hint="eastAsia" w:ascii="宋体" w:hAnsi="宋体" w:eastAsia="宋体" w:cs="宋体"/>
          <w:sz w:val="21"/>
          <w:szCs w:val="21"/>
        </w:rPr>
        <w:t>开标程序</w:t>
      </w:r>
      <w:bookmarkEnd w:id="94"/>
      <w:bookmarkEnd w:id="95"/>
    </w:p>
    <w:p w14:paraId="26398F2E">
      <w:pPr>
        <w:spacing w:line="400" w:lineRule="exact"/>
        <w:ind w:firstLine="420" w:firstLineChars="200"/>
        <w:rPr>
          <w:rFonts w:ascii="宋体"/>
        </w:rPr>
      </w:pPr>
      <w:bookmarkStart w:id="96" w:name="_Toc389065176"/>
      <w:r>
        <w:rPr>
          <w:rFonts w:ascii="宋体" w:hAnsi="宋体" w:cs="宋体"/>
        </w:rPr>
        <w:t>5.2.1</w:t>
      </w:r>
      <w:r>
        <w:rPr>
          <w:rFonts w:hint="eastAsia" w:ascii="宋体" w:hAnsi="宋体" w:cs="宋体"/>
        </w:rPr>
        <w:t>开标程序见投标人须知前附表。</w:t>
      </w:r>
    </w:p>
    <w:bookmarkEnd w:id="96"/>
    <w:p w14:paraId="538AB89B">
      <w:pPr>
        <w:pStyle w:val="4"/>
        <w:spacing w:line="400" w:lineRule="exact"/>
        <w:rPr>
          <w:rFonts w:ascii="宋体" w:hAnsi="宋体" w:eastAsia="宋体" w:cs="宋体"/>
          <w:sz w:val="21"/>
          <w:szCs w:val="21"/>
        </w:rPr>
      </w:pPr>
      <w:bookmarkStart w:id="97" w:name="_Toc389065177"/>
      <w:bookmarkStart w:id="98" w:name="_Toc498006679"/>
      <w:r>
        <w:rPr>
          <w:rFonts w:ascii="宋体" w:hAnsi="宋体" w:eastAsia="宋体" w:cs="宋体"/>
          <w:sz w:val="21"/>
          <w:szCs w:val="21"/>
        </w:rPr>
        <w:t xml:space="preserve">6 </w:t>
      </w:r>
      <w:r>
        <w:rPr>
          <w:rFonts w:hint="eastAsia" w:ascii="宋体" w:hAnsi="宋体" w:eastAsia="宋体" w:cs="宋体"/>
          <w:sz w:val="21"/>
          <w:szCs w:val="21"/>
        </w:rPr>
        <w:t>评标</w:t>
      </w:r>
      <w:bookmarkEnd w:id="97"/>
      <w:bookmarkEnd w:id="98"/>
    </w:p>
    <w:p w14:paraId="5C398A94">
      <w:pPr>
        <w:pStyle w:val="4"/>
        <w:spacing w:line="400" w:lineRule="exact"/>
        <w:rPr>
          <w:rFonts w:ascii="宋体" w:hAnsi="宋体" w:eastAsia="宋体" w:cs="宋体"/>
          <w:sz w:val="21"/>
          <w:szCs w:val="21"/>
        </w:rPr>
      </w:pPr>
      <w:bookmarkStart w:id="99" w:name="_Toc498006680"/>
      <w:bookmarkStart w:id="100" w:name="_Toc389065178"/>
      <w:r>
        <w:rPr>
          <w:rFonts w:ascii="宋体" w:hAnsi="宋体" w:eastAsia="宋体" w:cs="宋体"/>
          <w:sz w:val="21"/>
          <w:szCs w:val="21"/>
        </w:rPr>
        <w:t xml:space="preserve">6.1 </w:t>
      </w:r>
      <w:r>
        <w:rPr>
          <w:rFonts w:hint="eastAsia" w:ascii="宋体" w:hAnsi="宋体" w:eastAsia="宋体" w:cs="宋体"/>
          <w:sz w:val="21"/>
          <w:szCs w:val="21"/>
        </w:rPr>
        <w:t>评标委员会</w:t>
      </w:r>
      <w:bookmarkEnd w:id="99"/>
      <w:bookmarkEnd w:id="100"/>
    </w:p>
    <w:p w14:paraId="0AB55B7A">
      <w:pPr>
        <w:spacing w:line="400" w:lineRule="exact"/>
        <w:ind w:firstLine="420" w:firstLineChars="200"/>
        <w:rPr>
          <w:rFonts w:ascii="宋体"/>
        </w:rPr>
      </w:pPr>
      <w:r>
        <w:rPr>
          <w:rFonts w:ascii="宋体" w:hAnsi="宋体" w:cs="宋体"/>
        </w:rPr>
        <w:t xml:space="preserve">6.1.1 </w:t>
      </w:r>
      <w:r>
        <w:rPr>
          <w:rFonts w:hint="eastAsia" w:ascii="宋体" w:hAnsi="宋体" w:cs="宋体"/>
        </w:rPr>
        <w:t>评标由招标人依法组建的评标委员会负责。评标委员会成员人数以及技术、经济等方面专家的确定方式见“投标人须知前附表”。</w:t>
      </w:r>
    </w:p>
    <w:p w14:paraId="41A07D96">
      <w:pPr>
        <w:spacing w:line="400" w:lineRule="exact"/>
        <w:ind w:firstLine="420" w:firstLineChars="200"/>
        <w:rPr>
          <w:rFonts w:ascii="宋体"/>
        </w:rPr>
      </w:pPr>
      <w:r>
        <w:rPr>
          <w:rFonts w:ascii="宋体" w:hAnsi="宋体" w:cs="宋体"/>
        </w:rPr>
        <w:t xml:space="preserve">6.1.2 </w:t>
      </w:r>
      <w:r>
        <w:rPr>
          <w:rFonts w:hint="eastAsia" w:ascii="宋体" w:hAnsi="宋体" w:cs="宋体"/>
        </w:rPr>
        <w:t>评标委员会成员有下列情形之一的，应当回避：</w:t>
      </w:r>
      <w:bookmarkStart w:id="101" w:name="_Toc389065179"/>
    </w:p>
    <w:p w14:paraId="5C884289">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）投标人或投标人的主要负责人的近亲属；</w:t>
      </w:r>
    </w:p>
    <w:p w14:paraId="4ECC6CCB">
      <w:pPr>
        <w:spacing w:line="400" w:lineRule="exact"/>
        <w:ind w:firstLine="420" w:firstLineChars="200"/>
        <w:rPr>
          <w:rFonts w:ascii="宋体"/>
        </w:rPr>
      </w:pPr>
      <w:r>
        <w:rPr>
          <w:rFonts w:hint="eastAsia" w:ascii="宋体" w:hAnsi="宋体" w:cs="宋体"/>
        </w:rPr>
        <w:t>（</w:t>
      </w:r>
      <w:r>
        <w:rPr>
          <w:rFonts w:ascii="宋体" w:hAnsi="宋体" w:cs="宋体"/>
        </w:rPr>
        <w:t>2</w:t>
      </w:r>
      <w:r>
        <w:rPr>
          <w:rFonts w:hint="eastAsia" w:ascii="宋体" w:hAnsi="宋体" w:cs="宋体"/>
        </w:rPr>
        <w:t>）项目主管部门或者行政监督部门的人员；</w:t>
      </w:r>
    </w:p>
    <w:p w14:paraId="212DEDF1">
      <w:pPr>
        <w:spacing w:line="400" w:lineRule="exact"/>
        <w:ind w:firstLine="420" w:firstLineChars="200"/>
        <w:rPr>
          <w:rFonts w:ascii="宋体"/>
        </w:rPr>
      </w:pPr>
      <w:r>
        <w:rPr>
          <w:rFonts w:hint="eastAsia" w:ascii="宋体" w:hAnsi="宋体" w:cs="宋体"/>
        </w:rPr>
        <w:t>（</w:t>
      </w:r>
      <w:r>
        <w:rPr>
          <w:rFonts w:ascii="宋体" w:hAnsi="宋体" w:cs="宋体"/>
        </w:rPr>
        <w:t>3</w:t>
      </w:r>
      <w:r>
        <w:rPr>
          <w:rFonts w:hint="eastAsia" w:ascii="宋体" w:hAnsi="宋体" w:cs="宋体"/>
        </w:rPr>
        <w:t>）与投标人有经济利益关系，可能影响对投标公正评审的；</w:t>
      </w:r>
    </w:p>
    <w:p w14:paraId="27F6D90E">
      <w:pPr>
        <w:spacing w:line="400" w:lineRule="exact"/>
        <w:ind w:firstLine="420" w:firstLineChars="200"/>
        <w:rPr>
          <w:rFonts w:ascii="宋体"/>
        </w:rPr>
      </w:pPr>
      <w:r>
        <w:rPr>
          <w:rFonts w:hint="eastAsia" w:ascii="宋体" w:hAnsi="宋体" w:cs="宋体"/>
        </w:rPr>
        <w:t>（</w:t>
      </w:r>
      <w:r>
        <w:rPr>
          <w:rFonts w:ascii="宋体" w:hAnsi="宋体" w:cs="宋体"/>
        </w:rPr>
        <w:t>4</w:t>
      </w:r>
      <w:r>
        <w:rPr>
          <w:rFonts w:hint="eastAsia" w:ascii="宋体" w:hAnsi="宋体" w:cs="宋体"/>
        </w:rPr>
        <w:t>）曾因在招标、评标以及其他与招标投标有关活动中从事违法行为而受过行政处罚或刑事处罚的。</w:t>
      </w:r>
    </w:p>
    <w:p w14:paraId="5AD9EAD6">
      <w:pPr>
        <w:pStyle w:val="4"/>
        <w:spacing w:line="400" w:lineRule="exact"/>
        <w:rPr>
          <w:rFonts w:ascii="宋体" w:hAnsi="宋体" w:eastAsia="宋体" w:cs="宋体"/>
          <w:sz w:val="21"/>
          <w:szCs w:val="21"/>
        </w:rPr>
      </w:pPr>
      <w:bookmarkStart w:id="102" w:name="_Toc498006681"/>
      <w:r>
        <w:rPr>
          <w:rFonts w:ascii="宋体" w:hAnsi="宋体" w:eastAsia="宋体" w:cs="宋体"/>
          <w:sz w:val="21"/>
          <w:szCs w:val="21"/>
        </w:rPr>
        <w:t xml:space="preserve">6.2 </w:t>
      </w:r>
      <w:r>
        <w:rPr>
          <w:rFonts w:hint="eastAsia" w:ascii="宋体" w:hAnsi="宋体" w:eastAsia="宋体" w:cs="宋体"/>
          <w:sz w:val="21"/>
          <w:szCs w:val="21"/>
        </w:rPr>
        <w:t>评标原则</w:t>
      </w:r>
      <w:bookmarkEnd w:id="101"/>
      <w:bookmarkEnd w:id="102"/>
    </w:p>
    <w:p w14:paraId="4C1124D9">
      <w:pPr>
        <w:spacing w:line="400" w:lineRule="exact"/>
        <w:ind w:firstLine="420" w:firstLineChars="200"/>
        <w:rPr>
          <w:rFonts w:ascii="宋体"/>
        </w:rPr>
      </w:pPr>
      <w:r>
        <w:rPr>
          <w:rFonts w:hint="eastAsia" w:ascii="宋体" w:hAnsi="宋体" w:cs="宋体"/>
        </w:rPr>
        <w:t>评标活动遵循公平、公正、科学和择优的原则。</w:t>
      </w:r>
    </w:p>
    <w:p w14:paraId="25989D4B">
      <w:pPr>
        <w:pStyle w:val="4"/>
        <w:spacing w:line="400" w:lineRule="exact"/>
        <w:rPr>
          <w:rFonts w:ascii="宋体" w:hAnsi="宋体" w:eastAsia="宋体" w:cs="宋体"/>
          <w:sz w:val="21"/>
          <w:szCs w:val="21"/>
        </w:rPr>
      </w:pPr>
      <w:bookmarkStart w:id="103" w:name="_Toc389065180"/>
      <w:bookmarkStart w:id="104" w:name="_Toc498006682"/>
      <w:r>
        <w:rPr>
          <w:rFonts w:ascii="宋体" w:hAnsi="宋体" w:eastAsia="宋体" w:cs="宋体"/>
          <w:sz w:val="21"/>
          <w:szCs w:val="21"/>
        </w:rPr>
        <w:t xml:space="preserve">6.3 </w:t>
      </w:r>
      <w:r>
        <w:rPr>
          <w:rFonts w:hint="eastAsia" w:ascii="宋体" w:hAnsi="宋体" w:eastAsia="宋体" w:cs="宋体"/>
          <w:sz w:val="21"/>
          <w:szCs w:val="21"/>
        </w:rPr>
        <w:t>评标</w:t>
      </w:r>
      <w:bookmarkEnd w:id="103"/>
      <w:bookmarkEnd w:id="104"/>
    </w:p>
    <w:p w14:paraId="2C7CB454">
      <w:pPr>
        <w:spacing w:line="400" w:lineRule="exact"/>
        <w:ind w:firstLine="420" w:firstLineChars="200"/>
        <w:rPr>
          <w:rFonts w:ascii="宋体"/>
        </w:rPr>
      </w:pPr>
      <w:r>
        <w:rPr>
          <w:rFonts w:hint="eastAsia" w:ascii="宋体" w:hAnsi="宋体" w:cs="宋体"/>
        </w:rPr>
        <w:t>评标委员会按照第三章“评标办法”规定的方法、评审因素、标准和程序对投标文件进行评审。第三章“评标办法”没有规定的方法、评审因素和标准，不作为评标依据。</w:t>
      </w:r>
      <w:bookmarkStart w:id="105" w:name="_Toc389065184"/>
    </w:p>
    <w:p w14:paraId="04BC4D98">
      <w:pPr>
        <w:pStyle w:val="4"/>
        <w:spacing w:line="400" w:lineRule="exact"/>
        <w:rPr>
          <w:rFonts w:ascii="宋体" w:hAnsi="宋体" w:eastAsia="宋体" w:cs="宋体"/>
          <w:sz w:val="21"/>
          <w:szCs w:val="21"/>
        </w:rPr>
      </w:pPr>
      <w:bookmarkStart w:id="106" w:name="_Toc498006683"/>
      <w:bookmarkStart w:id="107" w:name="_Toc389065183"/>
      <w:r>
        <w:rPr>
          <w:rFonts w:ascii="宋体" w:hAnsi="宋体" w:eastAsia="宋体" w:cs="宋体"/>
          <w:sz w:val="21"/>
          <w:szCs w:val="21"/>
        </w:rPr>
        <w:t xml:space="preserve">6.4 </w:t>
      </w:r>
      <w:r>
        <w:rPr>
          <w:rFonts w:hint="eastAsia" w:ascii="宋体" w:hAnsi="宋体" w:eastAsia="宋体" w:cs="宋体"/>
          <w:sz w:val="21"/>
          <w:szCs w:val="21"/>
        </w:rPr>
        <w:t>评标结果公示</w:t>
      </w:r>
      <w:bookmarkEnd w:id="106"/>
      <w:bookmarkEnd w:id="107"/>
    </w:p>
    <w:p w14:paraId="5591E2E5">
      <w:pPr>
        <w:spacing w:line="400" w:lineRule="exact"/>
        <w:ind w:firstLine="420" w:firstLineChars="200"/>
        <w:rPr>
          <w:rFonts w:ascii="宋体"/>
        </w:rPr>
      </w:pPr>
      <w:r>
        <w:rPr>
          <w:rFonts w:ascii="宋体" w:hAnsi="宋体" w:cs="宋体"/>
        </w:rPr>
        <w:t>6.4.1</w:t>
      </w:r>
      <w:r>
        <w:rPr>
          <w:rFonts w:hint="eastAsia" w:ascii="宋体" w:hAnsi="宋体" w:cs="宋体"/>
        </w:rPr>
        <w:t>招标人在收到评标报告之日起</w:t>
      </w:r>
      <w:r>
        <w:rPr>
          <w:rFonts w:ascii="宋体" w:hAnsi="宋体" w:cs="宋体"/>
        </w:rPr>
        <w:t>3</w:t>
      </w:r>
      <w:r>
        <w:rPr>
          <w:rFonts w:hint="eastAsia" w:ascii="宋体" w:hAnsi="宋体" w:cs="宋体"/>
        </w:rPr>
        <w:t>日内在本招标项目招标公告发布的同一媒介发布评标结果公示，公示期不少于</w:t>
      </w:r>
      <w:r>
        <w:rPr>
          <w:rFonts w:ascii="宋体" w:hAnsi="宋体" w:cs="宋体"/>
        </w:rPr>
        <w:t>3</w:t>
      </w:r>
      <w:r>
        <w:rPr>
          <w:rFonts w:hint="eastAsia" w:ascii="宋体" w:hAnsi="宋体" w:cs="宋体"/>
        </w:rPr>
        <w:t>日。</w:t>
      </w:r>
    </w:p>
    <w:p w14:paraId="6099536D">
      <w:pPr>
        <w:spacing w:line="400" w:lineRule="exact"/>
        <w:ind w:firstLine="420" w:firstLineChars="200"/>
        <w:rPr>
          <w:rFonts w:ascii="宋体"/>
        </w:rPr>
      </w:pPr>
      <w:r>
        <w:rPr>
          <w:rFonts w:ascii="宋体" w:hAnsi="宋体" w:cs="宋体"/>
        </w:rPr>
        <w:t xml:space="preserve">6.4.2 </w:t>
      </w:r>
      <w:r>
        <w:rPr>
          <w:rFonts w:hint="eastAsia" w:ascii="宋体" w:hAnsi="宋体" w:cs="宋体"/>
        </w:rPr>
        <w:t>投标人或者其他利害关系人对评标结果有异议的，应当在公示期间提出。招标人自收到异议之日起</w:t>
      </w:r>
      <w:r>
        <w:rPr>
          <w:rFonts w:ascii="宋体" w:hAnsi="宋体" w:cs="宋体"/>
        </w:rPr>
        <w:t>3</w:t>
      </w:r>
      <w:r>
        <w:rPr>
          <w:rFonts w:hint="eastAsia" w:ascii="宋体" w:hAnsi="宋体" w:cs="宋体"/>
        </w:rPr>
        <w:t>日内作出答复。对招标人答复不满意或招标人拒不答复的，投标人可按照本章第</w:t>
      </w:r>
      <w:r>
        <w:rPr>
          <w:rFonts w:ascii="宋体" w:hAnsi="宋体" w:cs="宋体"/>
        </w:rPr>
        <w:t>8.5</w:t>
      </w:r>
      <w:r>
        <w:rPr>
          <w:rFonts w:hint="eastAsia" w:ascii="宋体" w:hAnsi="宋体" w:cs="宋体"/>
        </w:rPr>
        <w:t>条的规定程序向有关行政监督部门投诉。</w:t>
      </w:r>
    </w:p>
    <w:p w14:paraId="3F990121">
      <w:pPr>
        <w:pStyle w:val="4"/>
        <w:spacing w:line="400" w:lineRule="exact"/>
        <w:rPr>
          <w:rFonts w:ascii="宋体" w:hAnsi="宋体" w:eastAsia="宋体" w:cs="宋体"/>
          <w:sz w:val="21"/>
          <w:szCs w:val="21"/>
        </w:rPr>
      </w:pPr>
      <w:bookmarkStart w:id="108" w:name="_Toc498006684"/>
      <w:r>
        <w:rPr>
          <w:rFonts w:ascii="宋体" w:hAnsi="宋体" w:eastAsia="宋体" w:cs="宋体"/>
          <w:sz w:val="21"/>
          <w:szCs w:val="21"/>
        </w:rPr>
        <w:t xml:space="preserve">7 </w:t>
      </w:r>
      <w:r>
        <w:rPr>
          <w:rFonts w:hint="eastAsia" w:ascii="宋体" w:hAnsi="宋体" w:eastAsia="宋体" w:cs="宋体"/>
          <w:sz w:val="21"/>
          <w:szCs w:val="21"/>
        </w:rPr>
        <w:t>合同授予</w:t>
      </w:r>
      <w:bookmarkEnd w:id="105"/>
      <w:bookmarkEnd w:id="108"/>
    </w:p>
    <w:p w14:paraId="123AEDFB">
      <w:pPr>
        <w:pStyle w:val="4"/>
        <w:spacing w:line="400" w:lineRule="exact"/>
        <w:rPr>
          <w:rFonts w:ascii="宋体" w:hAnsi="宋体" w:eastAsia="宋体" w:cs="宋体"/>
          <w:sz w:val="21"/>
          <w:szCs w:val="21"/>
        </w:rPr>
      </w:pPr>
      <w:bookmarkStart w:id="109" w:name="_Toc389065185"/>
      <w:bookmarkStart w:id="110" w:name="_Toc498006685"/>
      <w:r>
        <w:rPr>
          <w:rFonts w:ascii="宋体" w:hAnsi="宋体" w:eastAsia="宋体" w:cs="宋体"/>
          <w:sz w:val="21"/>
          <w:szCs w:val="21"/>
        </w:rPr>
        <w:t xml:space="preserve">7.1 </w:t>
      </w:r>
      <w:r>
        <w:rPr>
          <w:rFonts w:hint="eastAsia" w:ascii="宋体" w:hAnsi="宋体" w:eastAsia="宋体" w:cs="宋体"/>
          <w:sz w:val="21"/>
          <w:szCs w:val="21"/>
        </w:rPr>
        <w:t>定标方式</w:t>
      </w:r>
      <w:bookmarkEnd w:id="109"/>
      <w:bookmarkEnd w:id="110"/>
    </w:p>
    <w:p w14:paraId="2C248668">
      <w:pPr>
        <w:spacing w:line="400" w:lineRule="exact"/>
        <w:ind w:firstLine="420" w:firstLineChars="200"/>
        <w:rPr>
          <w:rFonts w:ascii="宋体"/>
        </w:rPr>
      </w:pPr>
      <w:r>
        <w:rPr>
          <w:rFonts w:hint="eastAsia" w:ascii="宋体" w:hAnsi="宋体" w:cs="宋体"/>
        </w:rPr>
        <w:t>除“投标人须知前附表”规定评标委员会直接确定中标人外，招标人依据评标委员会推荐的中标候选人确定中标人，评标委员会推荐中标候选人的人数见“投标人须知前附表”。</w:t>
      </w:r>
    </w:p>
    <w:p w14:paraId="002DEE51">
      <w:pPr>
        <w:pStyle w:val="4"/>
        <w:spacing w:line="400" w:lineRule="exact"/>
        <w:rPr>
          <w:rFonts w:ascii="宋体" w:hAnsi="宋体" w:eastAsia="宋体" w:cs="宋体"/>
          <w:sz w:val="21"/>
          <w:szCs w:val="21"/>
        </w:rPr>
      </w:pPr>
      <w:bookmarkStart w:id="111" w:name="_Toc389065186"/>
      <w:bookmarkStart w:id="112" w:name="_Toc498006686"/>
      <w:r>
        <w:rPr>
          <w:rFonts w:ascii="宋体" w:hAnsi="宋体" w:eastAsia="宋体" w:cs="宋体"/>
          <w:sz w:val="21"/>
          <w:szCs w:val="21"/>
        </w:rPr>
        <w:t xml:space="preserve">7.2 </w:t>
      </w:r>
      <w:r>
        <w:rPr>
          <w:rFonts w:hint="eastAsia" w:ascii="宋体" w:hAnsi="宋体" w:eastAsia="宋体" w:cs="宋体"/>
          <w:sz w:val="21"/>
          <w:szCs w:val="21"/>
        </w:rPr>
        <w:t>中标通知</w:t>
      </w:r>
      <w:bookmarkEnd w:id="111"/>
      <w:r>
        <w:rPr>
          <w:rFonts w:hint="eastAsia" w:ascii="宋体" w:hAnsi="宋体" w:eastAsia="宋体" w:cs="宋体"/>
          <w:sz w:val="21"/>
          <w:szCs w:val="21"/>
        </w:rPr>
        <w:t>及中标结果公告</w:t>
      </w:r>
      <w:bookmarkEnd w:id="112"/>
    </w:p>
    <w:p w14:paraId="3E576E25">
      <w:pPr>
        <w:spacing w:line="400" w:lineRule="exact"/>
        <w:ind w:firstLine="420" w:firstLineChars="200"/>
        <w:rPr>
          <w:rFonts w:ascii="宋体"/>
        </w:rPr>
      </w:pPr>
      <w:r>
        <w:rPr>
          <w:rFonts w:hint="eastAsia" w:ascii="宋体" w:hAnsi="宋体" w:cs="宋体"/>
        </w:rPr>
        <w:t>评标结果公示期满无异议或投诉的，招标人应在</w:t>
      </w:r>
      <w:r>
        <w:rPr>
          <w:rFonts w:ascii="宋体" w:hAnsi="宋体" w:cs="宋体"/>
        </w:rPr>
        <w:t>5</w:t>
      </w:r>
      <w:r>
        <w:rPr>
          <w:rFonts w:hint="eastAsia" w:ascii="宋体" w:hAnsi="宋体" w:cs="宋体"/>
        </w:rPr>
        <w:t>日内按规定的格式以书面形式向中标人发出中标通知书。</w:t>
      </w:r>
    </w:p>
    <w:p w14:paraId="674CF790">
      <w:pPr>
        <w:pStyle w:val="4"/>
        <w:spacing w:line="400" w:lineRule="exact"/>
        <w:rPr>
          <w:rFonts w:ascii="宋体" w:hAnsi="宋体" w:eastAsia="宋体" w:cs="宋体"/>
          <w:sz w:val="21"/>
          <w:szCs w:val="21"/>
        </w:rPr>
      </w:pPr>
      <w:bookmarkStart w:id="113" w:name="_Toc389065187"/>
      <w:bookmarkStart w:id="114" w:name="_Toc498006687"/>
      <w:r>
        <w:rPr>
          <w:rFonts w:ascii="宋体" w:hAnsi="宋体" w:eastAsia="宋体" w:cs="宋体"/>
          <w:sz w:val="21"/>
          <w:szCs w:val="21"/>
        </w:rPr>
        <w:t xml:space="preserve">7.3 </w:t>
      </w:r>
      <w:r>
        <w:rPr>
          <w:rFonts w:hint="eastAsia" w:ascii="宋体" w:hAnsi="宋体" w:eastAsia="宋体" w:cs="宋体"/>
          <w:sz w:val="21"/>
          <w:szCs w:val="21"/>
        </w:rPr>
        <w:t>履约</w:t>
      </w:r>
      <w:bookmarkEnd w:id="113"/>
      <w:r>
        <w:rPr>
          <w:rFonts w:hint="eastAsia" w:ascii="宋体" w:hAnsi="宋体" w:eastAsia="宋体" w:cs="宋体"/>
          <w:sz w:val="21"/>
          <w:szCs w:val="21"/>
        </w:rPr>
        <w:t>保证金</w:t>
      </w:r>
      <w:bookmarkEnd w:id="114"/>
    </w:p>
    <w:p w14:paraId="168DDF1A">
      <w:pPr>
        <w:spacing w:line="400" w:lineRule="exact"/>
        <w:ind w:firstLine="420" w:firstLineChars="200"/>
        <w:rPr>
          <w:rFonts w:ascii="宋体"/>
        </w:rPr>
      </w:pPr>
      <w:r>
        <w:rPr>
          <w:rFonts w:ascii="宋体" w:hAnsi="宋体" w:cs="宋体"/>
        </w:rPr>
        <w:t xml:space="preserve">7.3.1 </w:t>
      </w:r>
      <w:r>
        <w:rPr>
          <w:rFonts w:hint="eastAsia" w:ascii="宋体" w:hAnsi="宋体" w:cs="宋体"/>
        </w:rPr>
        <w:t>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14:paraId="69639491">
      <w:pPr>
        <w:spacing w:line="400" w:lineRule="exact"/>
        <w:ind w:firstLine="420" w:firstLineChars="200"/>
        <w:rPr>
          <w:rFonts w:ascii="宋体"/>
        </w:rPr>
      </w:pPr>
      <w:r>
        <w:rPr>
          <w:rFonts w:ascii="宋体" w:hAnsi="宋体" w:cs="宋体"/>
        </w:rPr>
        <w:t xml:space="preserve">7.3.2 </w:t>
      </w:r>
      <w:r>
        <w:rPr>
          <w:rFonts w:hint="eastAsia" w:ascii="宋体" w:hAnsi="宋体" w:cs="宋体"/>
        </w:rPr>
        <w:t>中标人不能按本章第</w:t>
      </w:r>
      <w:r>
        <w:rPr>
          <w:rFonts w:ascii="宋体" w:hAnsi="宋体" w:cs="宋体"/>
        </w:rPr>
        <w:t>7.3.1</w:t>
      </w:r>
      <w:r>
        <w:rPr>
          <w:rFonts w:hint="eastAsia" w:ascii="宋体" w:hAnsi="宋体" w:cs="宋体"/>
        </w:rPr>
        <w:t>项要求提交履约保证金的，视为放弃中标，其投标保证金不予退还，给招标人造成的损失超过投标保证金数额的，中标人还应当对超过部分予以赔偿。</w:t>
      </w:r>
    </w:p>
    <w:p w14:paraId="0E883DDF">
      <w:pPr>
        <w:pStyle w:val="4"/>
        <w:spacing w:line="400" w:lineRule="exact"/>
        <w:rPr>
          <w:rFonts w:ascii="宋体" w:hAnsi="宋体" w:eastAsia="宋体" w:cs="宋体"/>
          <w:sz w:val="21"/>
          <w:szCs w:val="21"/>
        </w:rPr>
      </w:pPr>
      <w:bookmarkStart w:id="115" w:name="_Toc498006688"/>
      <w:bookmarkStart w:id="116" w:name="_Toc389065188"/>
      <w:r>
        <w:rPr>
          <w:rFonts w:ascii="宋体" w:hAnsi="宋体" w:eastAsia="宋体" w:cs="宋体"/>
          <w:sz w:val="21"/>
          <w:szCs w:val="21"/>
        </w:rPr>
        <w:t xml:space="preserve">7.4 </w:t>
      </w:r>
      <w:r>
        <w:rPr>
          <w:rFonts w:hint="eastAsia" w:ascii="宋体" w:hAnsi="宋体" w:eastAsia="宋体" w:cs="宋体"/>
          <w:sz w:val="21"/>
          <w:szCs w:val="21"/>
        </w:rPr>
        <w:t>签订合同</w:t>
      </w:r>
      <w:bookmarkEnd w:id="115"/>
      <w:bookmarkEnd w:id="116"/>
    </w:p>
    <w:p w14:paraId="5253AC2A">
      <w:pPr>
        <w:spacing w:line="400" w:lineRule="exact"/>
        <w:ind w:firstLine="420" w:firstLineChars="200"/>
        <w:rPr>
          <w:rFonts w:ascii="宋体"/>
        </w:rPr>
      </w:pPr>
      <w:r>
        <w:rPr>
          <w:rFonts w:ascii="宋体" w:hAnsi="宋体" w:cs="宋体"/>
        </w:rPr>
        <w:t xml:space="preserve">7.4.1 </w:t>
      </w:r>
      <w:r>
        <w:rPr>
          <w:rFonts w:hint="eastAsia" w:ascii="宋体" w:hAnsi="宋体" w:cs="宋体"/>
        </w:rPr>
        <w:t>招标人和中标人应当在投标有效期内以及中标通知书发出之日起</w:t>
      </w:r>
      <w:r>
        <w:rPr>
          <w:rFonts w:ascii="宋体" w:hAnsi="宋体" w:cs="宋体"/>
        </w:rPr>
        <w:t>30</w:t>
      </w:r>
      <w:r>
        <w:rPr>
          <w:rFonts w:hint="eastAsia" w:ascii="宋体" w:hAnsi="宋体" w:cs="宋体"/>
        </w:rPr>
        <w:t>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14:paraId="311468F4">
      <w:pPr>
        <w:spacing w:line="400" w:lineRule="exact"/>
        <w:ind w:firstLine="420" w:firstLineChars="200"/>
        <w:rPr>
          <w:rFonts w:ascii="宋体"/>
        </w:rPr>
      </w:pPr>
      <w:r>
        <w:rPr>
          <w:rFonts w:ascii="宋体" w:hAnsi="宋体" w:cs="宋体"/>
        </w:rPr>
        <w:t xml:space="preserve">7.4.2 </w:t>
      </w:r>
      <w:r>
        <w:rPr>
          <w:rFonts w:hint="eastAsia" w:ascii="宋体" w:hAnsi="宋体" w:cs="宋体"/>
        </w:rPr>
        <w:t>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14:paraId="08C80A11">
      <w:pPr>
        <w:spacing w:line="400" w:lineRule="exact"/>
        <w:ind w:firstLine="420" w:firstLineChars="200"/>
        <w:rPr>
          <w:rFonts w:ascii="宋体"/>
        </w:rPr>
      </w:pPr>
      <w:r>
        <w:rPr>
          <w:rFonts w:ascii="宋体" w:hAnsi="宋体" w:cs="宋体"/>
        </w:rPr>
        <w:t xml:space="preserve">7.4.3 </w:t>
      </w:r>
      <w:r>
        <w:rPr>
          <w:rFonts w:hint="eastAsia" w:ascii="宋体" w:hAnsi="宋体" w:cs="宋体"/>
        </w:rPr>
        <w:t>发出中标通知书后，招标人无正当理由拒签合同的，由有关行政监督部门给予警告，责令改正。同时招标人向中标人退还投标保证金；给中标人造成损失的，还应当赔偿损失。</w:t>
      </w:r>
      <w:bookmarkStart w:id="117" w:name="_Toc389065189"/>
    </w:p>
    <w:bookmarkEnd w:id="117"/>
    <w:p w14:paraId="522D302D">
      <w:pPr>
        <w:pStyle w:val="4"/>
        <w:spacing w:line="400" w:lineRule="exact"/>
        <w:rPr>
          <w:rFonts w:ascii="宋体" w:hAnsi="宋体" w:eastAsia="宋体" w:cs="宋体"/>
          <w:sz w:val="21"/>
          <w:szCs w:val="21"/>
        </w:rPr>
      </w:pPr>
      <w:bookmarkStart w:id="118" w:name="_Toc498006689"/>
      <w:bookmarkStart w:id="119" w:name="_Toc389065192"/>
      <w:r>
        <w:rPr>
          <w:rFonts w:ascii="宋体" w:hAnsi="宋体" w:eastAsia="宋体" w:cs="宋体"/>
          <w:sz w:val="21"/>
          <w:szCs w:val="21"/>
        </w:rPr>
        <w:t xml:space="preserve">8 </w:t>
      </w:r>
      <w:r>
        <w:rPr>
          <w:rFonts w:hint="eastAsia" w:ascii="宋体" w:hAnsi="宋体" w:eastAsia="宋体" w:cs="宋体"/>
          <w:sz w:val="21"/>
          <w:szCs w:val="21"/>
        </w:rPr>
        <w:t>纪律和监督</w:t>
      </w:r>
      <w:bookmarkEnd w:id="118"/>
      <w:bookmarkEnd w:id="119"/>
    </w:p>
    <w:p w14:paraId="656D2CAD">
      <w:pPr>
        <w:pStyle w:val="4"/>
        <w:spacing w:line="400" w:lineRule="exact"/>
        <w:rPr>
          <w:rFonts w:ascii="宋体" w:hAnsi="宋体" w:eastAsia="宋体" w:cs="宋体"/>
          <w:sz w:val="21"/>
          <w:szCs w:val="21"/>
        </w:rPr>
      </w:pPr>
      <w:bookmarkStart w:id="120" w:name="_Toc498006690"/>
      <w:bookmarkStart w:id="121" w:name="_Toc389065193"/>
      <w:r>
        <w:rPr>
          <w:rFonts w:ascii="宋体" w:hAnsi="宋体" w:eastAsia="宋体" w:cs="宋体"/>
          <w:sz w:val="21"/>
          <w:szCs w:val="21"/>
        </w:rPr>
        <w:t xml:space="preserve">8.1 </w:t>
      </w:r>
      <w:r>
        <w:rPr>
          <w:rFonts w:hint="eastAsia" w:ascii="宋体" w:hAnsi="宋体" w:eastAsia="宋体" w:cs="宋体"/>
          <w:sz w:val="21"/>
          <w:szCs w:val="21"/>
        </w:rPr>
        <w:t>对招标人的纪律要求</w:t>
      </w:r>
      <w:bookmarkEnd w:id="120"/>
      <w:bookmarkEnd w:id="121"/>
    </w:p>
    <w:p w14:paraId="0FAFFC10">
      <w:pPr>
        <w:spacing w:line="400" w:lineRule="exact"/>
        <w:ind w:firstLine="420" w:firstLineChars="200"/>
        <w:rPr>
          <w:rFonts w:ascii="宋体"/>
          <w:kern w:val="0"/>
        </w:rPr>
      </w:pPr>
      <w:r>
        <w:rPr>
          <w:rFonts w:hint="eastAsia" w:ascii="宋体" w:hAnsi="宋体" w:cs="宋体"/>
        </w:rPr>
        <w:t>招标人不得泄漏招标投标活动中应当保密的情况和资料，不得与投标人串通损害国家利益、社会公共利益或者他人合法权益。</w:t>
      </w:r>
    </w:p>
    <w:p w14:paraId="109BC94D">
      <w:pPr>
        <w:pStyle w:val="4"/>
        <w:spacing w:line="400" w:lineRule="exact"/>
        <w:rPr>
          <w:rFonts w:ascii="宋体" w:hAnsi="宋体" w:eastAsia="宋体" w:cs="宋体"/>
          <w:sz w:val="21"/>
          <w:szCs w:val="21"/>
        </w:rPr>
      </w:pPr>
      <w:bookmarkStart w:id="122" w:name="_Toc498006691"/>
      <w:r>
        <w:rPr>
          <w:rFonts w:ascii="宋体" w:hAnsi="宋体" w:eastAsia="宋体" w:cs="宋体"/>
          <w:sz w:val="21"/>
          <w:szCs w:val="21"/>
        </w:rPr>
        <w:t xml:space="preserve">8.2 </w:t>
      </w:r>
      <w:r>
        <w:rPr>
          <w:rFonts w:hint="eastAsia" w:ascii="宋体" w:hAnsi="宋体" w:eastAsia="宋体" w:cs="宋体"/>
          <w:sz w:val="21"/>
          <w:szCs w:val="21"/>
        </w:rPr>
        <w:t>对投标人的纪律要求</w:t>
      </w:r>
      <w:bookmarkEnd w:id="122"/>
    </w:p>
    <w:p w14:paraId="477C3490">
      <w:pPr>
        <w:spacing w:line="400" w:lineRule="exact"/>
        <w:ind w:firstLine="420" w:firstLineChars="200"/>
        <w:rPr>
          <w:rFonts w:ascii="宋体"/>
        </w:rPr>
      </w:pPr>
      <w:r>
        <w:rPr>
          <w:rFonts w:hint="eastAsia" w:ascii="宋体" w:hAnsi="宋体" w:cs="宋体"/>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26AF7A98">
      <w:pPr>
        <w:pStyle w:val="4"/>
        <w:spacing w:line="400" w:lineRule="exact"/>
        <w:rPr>
          <w:rFonts w:ascii="宋体" w:hAnsi="宋体" w:eastAsia="宋体" w:cs="宋体"/>
          <w:sz w:val="21"/>
          <w:szCs w:val="21"/>
        </w:rPr>
      </w:pPr>
      <w:bookmarkStart w:id="123" w:name="_Toc498006692"/>
      <w:bookmarkStart w:id="124" w:name="_Toc389065194"/>
      <w:r>
        <w:rPr>
          <w:rFonts w:ascii="宋体" w:hAnsi="宋体" w:eastAsia="宋体" w:cs="宋体"/>
          <w:sz w:val="21"/>
          <w:szCs w:val="21"/>
        </w:rPr>
        <w:t xml:space="preserve">8.3 </w:t>
      </w:r>
      <w:r>
        <w:rPr>
          <w:rFonts w:hint="eastAsia" w:ascii="宋体" w:hAnsi="宋体" w:eastAsia="宋体" w:cs="宋体"/>
          <w:sz w:val="21"/>
          <w:szCs w:val="21"/>
        </w:rPr>
        <w:t>对评标委员会成员的纪律要求</w:t>
      </w:r>
      <w:bookmarkEnd w:id="123"/>
      <w:bookmarkEnd w:id="124"/>
    </w:p>
    <w:p w14:paraId="1F645067">
      <w:pPr>
        <w:spacing w:line="400" w:lineRule="exact"/>
        <w:ind w:firstLine="420" w:firstLineChars="200"/>
        <w:rPr>
          <w:rFonts w:ascii="宋体"/>
        </w:rPr>
      </w:pPr>
      <w:r>
        <w:rPr>
          <w:rFonts w:hint="eastAsia" w:ascii="宋体" w:hAnsi="宋体" w:cs="宋体"/>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22AA799B">
      <w:pPr>
        <w:pStyle w:val="4"/>
        <w:spacing w:line="400" w:lineRule="exact"/>
        <w:rPr>
          <w:rFonts w:ascii="宋体" w:hAnsi="宋体" w:eastAsia="宋体" w:cs="宋体"/>
          <w:sz w:val="21"/>
          <w:szCs w:val="21"/>
        </w:rPr>
      </w:pPr>
      <w:bookmarkStart w:id="125" w:name="_Toc498006693"/>
      <w:bookmarkStart w:id="126" w:name="_Toc389065195"/>
      <w:r>
        <w:rPr>
          <w:rFonts w:ascii="宋体" w:hAnsi="宋体" w:eastAsia="宋体" w:cs="宋体"/>
          <w:sz w:val="21"/>
          <w:szCs w:val="21"/>
        </w:rPr>
        <w:t xml:space="preserve">8.4 </w:t>
      </w:r>
      <w:r>
        <w:rPr>
          <w:rFonts w:hint="eastAsia" w:ascii="宋体" w:hAnsi="宋体" w:eastAsia="宋体" w:cs="宋体"/>
          <w:sz w:val="21"/>
          <w:szCs w:val="21"/>
        </w:rPr>
        <w:t>对与评标活动有关的工作人员的纪律要求</w:t>
      </w:r>
      <w:bookmarkEnd w:id="125"/>
      <w:bookmarkEnd w:id="126"/>
    </w:p>
    <w:p w14:paraId="26E88196">
      <w:pPr>
        <w:spacing w:line="400" w:lineRule="exact"/>
        <w:ind w:firstLine="420" w:firstLineChars="200"/>
        <w:rPr>
          <w:rFonts w:ascii="宋体"/>
        </w:rPr>
      </w:pPr>
      <w:r>
        <w:rPr>
          <w:rFonts w:hint="eastAsia" w:ascii="宋体" w:hAns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27" w:name="_Toc389065196"/>
    </w:p>
    <w:p w14:paraId="6377357C">
      <w:pPr>
        <w:pStyle w:val="4"/>
        <w:spacing w:line="400" w:lineRule="exact"/>
        <w:rPr>
          <w:rFonts w:ascii="宋体" w:hAnsi="宋体" w:eastAsia="宋体" w:cs="宋体"/>
          <w:sz w:val="21"/>
          <w:szCs w:val="21"/>
        </w:rPr>
      </w:pPr>
      <w:bookmarkStart w:id="128" w:name="_Toc498006694"/>
      <w:r>
        <w:rPr>
          <w:rFonts w:ascii="宋体" w:hAnsi="宋体" w:eastAsia="宋体" w:cs="宋体"/>
          <w:sz w:val="21"/>
          <w:szCs w:val="21"/>
        </w:rPr>
        <w:t xml:space="preserve">8.5 </w:t>
      </w:r>
      <w:r>
        <w:rPr>
          <w:rFonts w:hint="eastAsia" w:ascii="宋体" w:hAnsi="宋体" w:eastAsia="宋体" w:cs="宋体"/>
          <w:sz w:val="21"/>
          <w:szCs w:val="21"/>
        </w:rPr>
        <w:t>异议与投诉</w:t>
      </w:r>
      <w:bookmarkEnd w:id="127"/>
      <w:bookmarkEnd w:id="128"/>
      <w:bookmarkStart w:id="129" w:name="_Toc389065197"/>
    </w:p>
    <w:p w14:paraId="037D81B2">
      <w:pPr>
        <w:spacing w:line="400" w:lineRule="exact"/>
        <w:ind w:firstLine="420" w:firstLineChars="200"/>
        <w:rPr>
          <w:rFonts w:ascii="宋体"/>
        </w:rPr>
      </w:pPr>
      <w:r>
        <w:rPr>
          <w:rFonts w:ascii="宋体" w:hAnsi="宋体" w:cs="宋体"/>
        </w:rPr>
        <w:t>8.5.1</w:t>
      </w:r>
      <w:r>
        <w:rPr>
          <w:rFonts w:hint="eastAsia" w:ascii="宋体" w:hAnsi="宋体" w:cs="宋体"/>
        </w:rPr>
        <w:t>异议</w:t>
      </w:r>
    </w:p>
    <w:p w14:paraId="4B717FB4">
      <w:pPr>
        <w:spacing w:line="400" w:lineRule="exact"/>
        <w:ind w:firstLine="420" w:firstLineChars="200"/>
        <w:rPr>
          <w:rFonts w:ascii="宋体"/>
        </w:rPr>
      </w:pPr>
      <w:r>
        <w:rPr>
          <w:rFonts w:hint="eastAsia" w:ascii="宋体" w:hAnsi="宋体" w:cs="宋体"/>
        </w:rPr>
        <w:t>投标人或者其他利害关系人对招标文件有异议的，应在投标人须知前附表规定的时间前提出。招标人应当自收到异议之日起</w:t>
      </w:r>
      <w:r>
        <w:rPr>
          <w:rFonts w:ascii="宋体" w:hAnsi="宋体" w:cs="宋体"/>
        </w:rPr>
        <w:t>3</w:t>
      </w:r>
      <w:r>
        <w:rPr>
          <w:rFonts w:hint="eastAsia" w:ascii="宋体" w:hAnsi="宋体" w:cs="宋体"/>
        </w:rPr>
        <w:t>日内作出答复；作出答复前，应当暂停招标投标活动。</w:t>
      </w:r>
    </w:p>
    <w:p w14:paraId="0A1ECEF3">
      <w:pPr>
        <w:spacing w:line="400" w:lineRule="exact"/>
        <w:ind w:firstLine="420" w:firstLineChars="200"/>
        <w:rPr>
          <w:rFonts w:ascii="宋体"/>
        </w:rPr>
      </w:pPr>
      <w:r>
        <w:rPr>
          <w:rFonts w:hint="eastAsia" w:ascii="宋体" w:hAnsi="宋体" w:cs="宋体"/>
        </w:rPr>
        <w:t>投标人对开标有异议的，应当及时在</w:t>
      </w:r>
      <w:r>
        <w:rPr>
          <w:rFonts w:hint="eastAsia" w:ascii="宋体" w:hAnsi="宋体" w:cs="宋体"/>
          <w:b/>
          <w:bCs/>
        </w:rPr>
        <w:t>开标现场</w:t>
      </w:r>
      <w:r>
        <w:rPr>
          <w:rFonts w:hint="eastAsia" w:ascii="宋体" w:hAnsi="宋体" w:cs="宋体"/>
        </w:rPr>
        <w:t>提出，招标人应当当场作出答复，并制作记录。</w:t>
      </w:r>
    </w:p>
    <w:p w14:paraId="3E5094EB">
      <w:pPr>
        <w:spacing w:line="400" w:lineRule="exact"/>
        <w:ind w:firstLine="420" w:firstLineChars="200"/>
        <w:rPr>
          <w:rFonts w:ascii="宋体"/>
        </w:rPr>
      </w:pPr>
      <w:r>
        <w:rPr>
          <w:rFonts w:hint="eastAsia" w:ascii="宋体" w:hAnsi="宋体" w:cs="宋体"/>
        </w:rPr>
        <w:t>投标人或者其他利害关系人对依法必须进行招标的项目的评标结果有异议的，应当在中标候选人公示期间提出。</w:t>
      </w:r>
    </w:p>
    <w:p w14:paraId="32B66841">
      <w:pPr>
        <w:spacing w:line="360" w:lineRule="auto"/>
        <w:ind w:firstLine="482" w:firstLineChars="200"/>
        <w:jc w:val="center"/>
        <w:rPr>
          <w:rFonts w:ascii="宋体"/>
          <w:b/>
          <w:bCs/>
          <w:sz w:val="24"/>
          <w:szCs w:val="24"/>
        </w:rPr>
      </w:pPr>
      <w:r>
        <w:rPr>
          <w:rFonts w:hint="eastAsia" w:ascii="宋体" w:hAnsi="宋体" w:cs="宋体"/>
          <w:b/>
          <w:bCs/>
          <w:sz w:val="24"/>
          <w:szCs w:val="24"/>
        </w:rPr>
        <w:t>异议书（格式）</w:t>
      </w:r>
    </w:p>
    <w:p w14:paraId="581CCC99">
      <w:pPr>
        <w:spacing w:line="360" w:lineRule="auto"/>
        <w:ind w:firstLine="420" w:firstLineChars="200"/>
        <w:rPr>
          <w:rFonts w:ascii="宋体"/>
        </w:rPr>
      </w:pPr>
      <w:r>
        <w:rPr>
          <w:rFonts w:hint="eastAsia" w:ascii="宋体" w:hAnsi="宋体" w:cs="宋体"/>
        </w:rPr>
        <w:t>项目名称：</w:t>
      </w:r>
    </w:p>
    <w:p w14:paraId="7C9EDA1E">
      <w:pPr>
        <w:spacing w:line="360" w:lineRule="auto"/>
        <w:ind w:firstLine="420" w:firstLineChars="200"/>
        <w:rPr>
          <w:rFonts w:ascii="宋体"/>
        </w:rPr>
      </w:pPr>
      <w:r>
        <w:rPr>
          <w:rFonts w:hint="eastAsia" w:ascii="宋体" w:hAnsi="宋体" w:cs="宋体"/>
        </w:rPr>
        <w:t>异议人：</w:t>
      </w:r>
    </w:p>
    <w:p w14:paraId="3A75FCFE">
      <w:pPr>
        <w:spacing w:line="360" w:lineRule="auto"/>
        <w:ind w:firstLine="420" w:firstLineChars="200"/>
        <w:rPr>
          <w:rFonts w:ascii="宋体"/>
        </w:rPr>
      </w:pPr>
      <w:r>
        <w:rPr>
          <w:rFonts w:hint="eastAsia" w:ascii="宋体" w:hAnsi="宋体" w:cs="宋体"/>
        </w:rPr>
        <w:t>住所地：邮编：</w:t>
      </w:r>
    </w:p>
    <w:p w14:paraId="3BC6218B">
      <w:pPr>
        <w:spacing w:line="360" w:lineRule="auto"/>
        <w:ind w:firstLine="420" w:firstLineChars="200"/>
        <w:rPr>
          <w:rFonts w:ascii="宋体"/>
        </w:rPr>
      </w:pPr>
      <w:r>
        <w:rPr>
          <w:rFonts w:hint="eastAsia" w:ascii="宋体" w:hAnsi="宋体" w:cs="宋体"/>
        </w:rPr>
        <w:t>法定代表人：联系电话</w:t>
      </w:r>
    </w:p>
    <w:p w14:paraId="3E510BDE">
      <w:pPr>
        <w:spacing w:line="360" w:lineRule="auto"/>
        <w:ind w:firstLine="420" w:firstLineChars="200"/>
        <w:rPr>
          <w:rFonts w:ascii="宋体"/>
        </w:rPr>
      </w:pPr>
      <w:r>
        <w:rPr>
          <w:rFonts w:hint="eastAsia" w:ascii="宋体" w:hAnsi="宋体" w:cs="宋体"/>
        </w:rPr>
        <w:t>异议人授权代表：性别：年龄：</w:t>
      </w:r>
    </w:p>
    <w:p w14:paraId="35CD1AA5">
      <w:pPr>
        <w:spacing w:line="360" w:lineRule="auto"/>
        <w:ind w:firstLine="420" w:firstLineChars="200"/>
        <w:rPr>
          <w:rFonts w:ascii="宋体"/>
        </w:rPr>
      </w:pPr>
      <w:r>
        <w:rPr>
          <w:rFonts w:hint="eastAsia" w:ascii="宋体" w:hAnsi="宋体" w:cs="宋体"/>
        </w:rPr>
        <w:t>住址：联系电话：</w:t>
      </w:r>
    </w:p>
    <w:p w14:paraId="292C78D4">
      <w:pPr>
        <w:spacing w:line="360" w:lineRule="auto"/>
        <w:ind w:firstLine="420" w:firstLineChars="200"/>
        <w:rPr>
          <w:rFonts w:ascii="宋体"/>
        </w:rPr>
      </w:pPr>
      <w:r>
        <w:rPr>
          <w:rFonts w:hint="eastAsia" w:ascii="宋体" w:hAnsi="宋体" w:cs="宋体"/>
        </w:rPr>
        <w:t>提起异议事项的基本事实：</w:t>
      </w:r>
    </w:p>
    <w:p w14:paraId="51892EBE">
      <w:pPr>
        <w:spacing w:line="360" w:lineRule="auto"/>
        <w:ind w:firstLine="420" w:firstLineChars="200"/>
        <w:rPr>
          <w:rFonts w:ascii="宋体"/>
        </w:rPr>
      </w:pPr>
    </w:p>
    <w:p w14:paraId="16766C60">
      <w:pPr>
        <w:spacing w:line="360" w:lineRule="auto"/>
        <w:ind w:firstLine="420" w:firstLineChars="200"/>
        <w:rPr>
          <w:rFonts w:ascii="宋体"/>
        </w:rPr>
      </w:pPr>
      <w:r>
        <w:rPr>
          <w:rFonts w:hint="eastAsia" w:ascii="宋体" w:hAnsi="宋体" w:cs="宋体"/>
        </w:rPr>
        <w:t>相关请求及主张：</w:t>
      </w:r>
    </w:p>
    <w:p w14:paraId="73479C09">
      <w:pPr>
        <w:spacing w:line="360" w:lineRule="auto"/>
        <w:ind w:firstLine="420" w:firstLineChars="200"/>
        <w:rPr>
          <w:rFonts w:ascii="宋体"/>
        </w:rPr>
      </w:pPr>
    </w:p>
    <w:p w14:paraId="42BE9552">
      <w:pPr>
        <w:spacing w:line="360" w:lineRule="auto"/>
        <w:ind w:firstLine="420" w:firstLineChars="200"/>
        <w:rPr>
          <w:rFonts w:ascii="宋体"/>
        </w:rPr>
      </w:pPr>
      <w:r>
        <w:rPr>
          <w:rFonts w:hint="eastAsia" w:ascii="宋体" w:hAnsi="宋体" w:cs="宋体"/>
        </w:rPr>
        <w:t>有效线索和相关证明材料：</w:t>
      </w:r>
    </w:p>
    <w:p w14:paraId="6728A32E">
      <w:pPr>
        <w:spacing w:line="360" w:lineRule="auto"/>
        <w:ind w:firstLine="420" w:firstLineChars="200"/>
        <w:rPr>
          <w:rFonts w:ascii="宋体"/>
        </w:rPr>
      </w:pPr>
    </w:p>
    <w:p w14:paraId="52B6C565">
      <w:pPr>
        <w:spacing w:line="360" w:lineRule="auto"/>
        <w:ind w:firstLine="420" w:firstLineChars="200"/>
        <w:rPr>
          <w:rFonts w:ascii="宋体"/>
        </w:rPr>
      </w:pPr>
      <w:r>
        <w:rPr>
          <w:rFonts w:hint="eastAsia" w:ascii="宋体" w:hAnsi="宋体" w:cs="宋体"/>
        </w:rPr>
        <w:t>异议人与提起项目有利害关系的证明材料：</w:t>
      </w:r>
    </w:p>
    <w:p w14:paraId="3D2F2423">
      <w:pPr>
        <w:spacing w:line="360" w:lineRule="auto"/>
        <w:ind w:firstLine="420" w:firstLineChars="200"/>
        <w:rPr>
          <w:rFonts w:ascii="宋体"/>
        </w:rPr>
      </w:pPr>
    </w:p>
    <w:p w14:paraId="779F7F95">
      <w:pPr>
        <w:spacing w:line="360" w:lineRule="auto"/>
        <w:ind w:firstLine="420" w:firstLineChars="200"/>
        <w:rPr>
          <w:rFonts w:ascii="宋体"/>
        </w:rPr>
      </w:pPr>
      <w:r>
        <w:rPr>
          <w:rFonts w:hint="eastAsia" w:ascii="宋体" w:hAnsi="宋体" w:cs="宋体"/>
        </w:rPr>
        <w:t>异议人（公章）：</w:t>
      </w:r>
    </w:p>
    <w:p w14:paraId="2C57382D">
      <w:pPr>
        <w:spacing w:line="360" w:lineRule="auto"/>
        <w:ind w:firstLine="420" w:firstLineChars="200"/>
        <w:rPr>
          <w:rFonts w:ascii="宋体"/>
        </w:rPr>
      </w:pPr>
      <w:r>
        <w:rPr>
          <w:rFonts w:hint="eastAsia" w:ascii="宋体" w:hAnsi="宋体" w:cs="宋体"/>
        </w:rPr>
        <w:t>法定代表人或授权代表（签字）</w:t>
      </w:r>
    </w:p>
    <w:p w14:paraId="2388B11B">
      <w:pPr>
        <w:spacing w:line="360" w:lineRule="auto"/>
        <w:ind w:firstLine="420" w:firstLineChars="200"/>
        <w:rPr>
          <w:rFonts w:ascii="宋体"/>
        </w:rPr>
      </w:pPr>
      <w:r>
        <w:rPr>
          <w:rFonts w:hint="eastAsia" w:ascii="宋体" w:hAnsi="宋体" w:cs="宋体"/>
        </w:rPr>
        <w:t>年月日</w:t>
      </w:r>
    </w:p>
    <w:p w14:paraId="16701E56">
      <w:pPr>
        <w:spacing w:line="360" w:lineRule="auto"/>
        <w:ind w:firstLine="420" w:firstLineChars="200"/>
        <w:rPr>
          <w:rFonts w:ascii="宋体"/>
        </w:rPr>
      </w:pPr>
      <w:r>
        <w:rPr>
          <w:rFonts w:ascii="宋体" w:hAnsi="宋体" w:cs="宋体"/>
        </w:rPr>
        <w:t>1.</w:t>
      </w:r>
      <w:r>
        <w:rPr>
          <w:rFonts w:hint="eastAsia" w:ascii="宋体" w:hAnsi="宋体" w:cs="宋体"/>
        </w:rPr>
        <w:t>异议人是法人的，异议书必须由其法定代表人或者授权代表签字并盖章；其他组织或者自然人提出异议的，异议书必须由其主要负责人或者异议人本人签字，并附有效身份证明复印件。</w:t>
      </w:r>
    </w:p>
    <w:p w14:paraId="6BAE2A3E">
      <w:pPr>
        <w:spacing w:line="360" w:lineRule="auto"/>
        <w:ind w:firstLine="420" w:firstLineChars="200"/>
        <w:rPr>
          <w:rFonts w:ascii="宋体"/>
        </w:rPr>
      </w:pPr>
      <w:r>
        <w:rPr>
          <w:rFonts w:ascii="宋体" w:hAnsi="宋体" w:cs="宋体"/>
        </w:rPr>
        <w:t>2.</w:t>
      </w:r>
      <w:r>
        <w:rPr>
          <w:rFonts w:hint="eastAsia" w:ascii="宋体" w:hAnsi="宋体" w:cs="宋体"/>
        </w:rPr>
        <w:t>异议书有关材料是外文的，异议人应当同时提供其中文译本。</w:t>
      </w:r>
    </w:p>
    <w:p w14:paraId="03C8B4F7">
      <w:pPr>
        <w:spacing w:line="360" w:lineRule="auto"/>
        <w:ind w:firstLine="420" w:firstLineChars="200"/>
        <w:rPr>
          <w:rFonts w:ascii="宋体"/>
        </w:rPr>
      </w:pPr>
      <w:r>
        <w:rPr>
          <w:rFonts w:ascii="宋体" w:hAnsi="宋体" w:cs="宋体"/>
        </w:rPr>
        <w:t>3.</w:t>
      </w:r>
      <w:r>
        <w:rPr>
          <w:rFonts w:hint="eastAsia" w:ascii="宋体" w:hAnsi="宋体" w:cs="宋体"/>
        </w:rPr>
        <w:t>异议人可以自己直接提交异议书，也可以委托代理人办理异议事务。代理人办理异议事务时，应当将授权委托书连同异议书一并提交给招标人。授权委托书应当明确有关委托代理权限和事项。</w:t>
      </w:r>
    </w:p>
    <w:p w14:paraId="55CFF49A">
      <w:pPr>
        <w:spacing w:line="360" w:lineRule="auto"/>
        <w:ind w:firstLine="420" w:firstLineChars="200"/>
        <w:rPr>
          <w:rFonts w:ascii="宋体"/>
        </w:rPr>
      </w:pPr>
      <w:r>
        <w:rPr>
          <w:rFonts w:ascii="宋体" w:hAnsi="宋体" w:cs="宋体"/>
        </w:rPr>
        <w:t>8.5.2</w:t>
      </w:r>
      <w:r>
        <w:rPr>
          <w:rFonts w:hint="eastAsia" w:ascii="宋体" w:hAnsi="宋体" w:cs="宋体"/>
        </w:rPr>
        <w:t>投诉</w:t>
      </w:r>
    </w:p>
    <w:p w14:paraId="0EAAEFBA">
      <w:pPr>
        <w:spacing w:line="360" w:lineRule="auto"/>
        <w:ind w:firstLine="420" w:firstLineChars="200"/>
        <w:rPr>
          <w:rFonts w:ascii="宋体"/>
        </w:rPr>
      </w:pPr>
      <w:r>
        <w:rPr>
          <w:rFonts w:hint="eastAsia" w:ascii="宋体" w:hAnsi="宋体" w:cs="宋体"/>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w:t>
      </w:r>
      <w:r>
        <w:rPr>
          <w:rFonts w:ascii="宋体" w:hAnsi="宋体" w:cs="宋体"/>
        </w:rPr>
        <w:t>8.5.1</w:t>
      </w:r>
      <w:r>
        <w:rPr>
          <w:rFonts w:hint="eastAsia" w:ascii="宋体" w:hAnsi="宋体" w:cs="宋体"/>
        </w:rPr>
        <w:t>项规定事项提出投诉的，应先向招标人提出异议。</w:t>
      </w:r>
    </w:p>
    <w:p w14:paraId="6F2A4658">
      <w:pPr>
        <w:spacing w:line="480" w:lineRule="exact"/>
        <w:jc w:val="center"/>
        <w:rPr>
          <w:rFonts w:ascii="宋体"/>
          <w:b/>
          <w:bCs/>
          <w:sz w:val="24"/>
          <w:szCs w:val="24"/>
        </w:rPr>
      </w:pPr>
      <w:r>
        <w:rPr>
          <w:rFonts w:hint="eastAsia" w:ascii="宋体" w:hAnsi="宋体" w:cs="宋体"/>
          <w:b/>
          <w:bCs/>
          <w:kern w:val="0"/>
          <w:sz w:val="24"/>
          <w:szCs w:val="24"/>
        </w:rPr>
        <w:t>投诉书（格式）</w:t>
      </w:r>
    </w:p>
    <w:p w14:paraId="1E4B6D30">
      <w:pPr>
        <w:spacing w:line="480" w:lineRule="exact"/>
        <w:rPr>
          <w:rFonts w:ascii="宋体"/>
        </w:rPr>
      </w:pPr>
      <w:r>
        <w:rPr>
          <w:rFonts w:hint="eastAsia" w:ascii="宋体" w:hAnsi="宋体" w:cs="宋体"/>
          <w:b/>
          <w:bCs/>
        </w:rPr>
        <w:t>投诉人（名称）：</w:t>
      </w:r>
    </w:p>
    <w:p w14:paraId="6EC18D4D">
      <w:pPr>
        <w:spacing w:line="480" w:lineRule="exact"/>
        <w:rPr>
          <w:rFonts w:ascii="宋体"/>
        </w:rPr>
      </w:pPr>
      <w:r>
        <w:rPr>
          <w:rFonts w:hint="eastAsia" w:ascii="宋体" w:hAnsi="宋体" w:cs="宋体"/>
        </w:rPr>
        <w:t>住所地：邮编：</w:t>
      </w:r>
    </w:p>
    <w:p w14:paraId="395DAF04">
      <w:pPr>
        <w:spacing w:line="480" w:lineRule="exact"/>
        <w:rPr>
          <w:rFonts w:ascii="宋体"/>
        </w:rPr>
      </w:pPr>
      <w:r>
        <w:rPr>
          <w:rFonts w:hint="eastAsia" w:ascii="宋体" w:hAnsi="宋体" w:cs="宋体"/>
        </w:rPr>
        <w:t>联系电话：传真：</w:t>
      </w:r>
    </w:p>
    <w:p w14:paraId="344CAE84">
      <w:pPr>
        <w:spacing w:line="480" w:lineRule="exact"/>
        <w:rPr>
          <w:rFonts w:ascii="宋体"/>
        </w:rPr>
      </w:pPr>
      <w:r>
        <w:rPr>
          <w:rFonts w:hint="eastAsia" w:ascii="宋体" w:hAnsi="宋体" w:cs="宋体"/>
        </w:rPr>
        <w:t>法定代表人姓名：职务：电话：</w:t>
      </w:r>
    </w:p>
    <w:p w14:paraId="64BB3E62">
      <w:pPr>
        <w:spacing w:line="480" w:lineRule="exact"/>
        <w:ind w:left="1"/>
        <w:rPr>
          <w:rFonts w:ascii="宋体"/>
        </w:rPr>
      </w:pPr>
      <w:r>
        <w:rPr>
          <w:rFonts w:hint="eastAsia" w:ascii="宋体" w:hAnsi="宋体" w:cs="宋体"/>
        </w:rPr>
        <w:t>授权委托人姓名（如有）：职务：电话：</w:t>
      </w:r>
    </w:p>
    <w:p w14:paraId="4983319B">
      <w:pPr>
        <w:spacing w:line="480" w:lineRule="exact"/>
        <w:rPr>
          <w:rFonts w:ascii="宋体" w:hAnsi="宋体" w:cs="宋体"/>
        </w:rPr>
      </w:pPr>
      <w:r>
        <w:rPr>
          <w:rFonts w:hint="eastAsia" w:ascii="宋体" w:hAnsi="宋体" w:cs="宋体"/>
        </w:rPr>
        <w:t>居民身份证号码：</w:t>
      </w:r>
    </w:p>
    <w:p w14:paraId="3E1B7A1F">
      <w:pPr>
        <w:spacing w:line="480" w:lineRule="exact"/>
        <w:rPr>
          <w:rFonts w:ascii="宋体"/>
          <w:b/>
          <w:bCs/>
        </w:rPr>
      </w:pPr>
      <w:r>
        <w:rPr>
          <w:rFonts w:hint="eastAsia" w:ascii="宋体" w:hAnsi="宋体" w:cs="宋体"/>
          <w:b/>
          <w:bCs/>
        </w:rPr>
        <w:t>被投诉人（名称）</w:t>
      </w:r>
      <w:r>
        <w:rPr>
          <w:rFonts w:hint="eastAsia" w:ascii="宋体" w:hAnsi="宋体" w:cs="宋体"/>
        </w:rPr>
        <w:t>：</w:t>
      </w:r>
    </w:p>
    <w:p w14:paraId="5DFB8526">
      <w:pPr>
        <w:spacing w:line="480" w:lineRule="exact"/>
        <w:rPr>
          <w:rFonts w:ascii="宋体"/>
        </w:rPr>
      </w:pPr>
      <w:r>
        <w:rPr>
          <w:rFonts w:hint="eastAsia" w:ascii="宋体" w:hAnsi="宋体" w:cs="宋体"/>
        </w:rPr>
        <w:t>住所地：</w:t>
      </w:r>
    </w:p>
    <w:p w14:paraId="392CA870">
      <w:pPr>
        <w:spacing w:line="480" w:lineRule="exact"/>
        <w:rPr>
          <w:rFonts w:ascii="宋体"/>
        </w:rPr>
      </w:pPr>
      <w:r>
        <w:rPr>
          <w:rFonts w:hint="eastAsia" w:ascii="宋体" w:hAnsi="宋体" w:cs="宋体"/>
        </w:rPr>
        <w:t>邮编：电话：</w:t>
      </w:r>
    </w:p>
    <w:p w14:paraId="7DFFE3F0">
      <w:pPr>
        <w:spacing w:line="480" w:lineRule="exact"/>
        <w:rPr>
          <w:rFonts w:ascii="宋体"/>
        </w:rPr>
      </w:pPr>
      <w:r>
        <w:rPr>
          <w:rFonts w:hint="eastAsia" w:ascii="宋体" w:hAnsi="宋体" w:cs="宋体"/>
        </w:rPr>
        <w:t>法定代表人姓名：职务：电话：</w:t>
      </w:r>
    </w:p>
    <w:p w14:paraId="0FDF14E7">
      <w:pPr>
        <w:spacing w:line="480" w:lineRule="exact"/>
        <w:rPr>
          <w:rFonts w:ascii="宋体"/>
          <w:b/>
          <w:bCs/>
        </w:rPr>
      </w:pPr>
      <w:r>
        <w:rPr>
          <w:rFonts w:hint="eastAsia" w:ascii="宋体" w:hAnsi="宋体" w:cs="宋体"/>
          <w:b/>
          <w:bCs/>
        </w:rPr>
        <w:t>投诉事项的基本事实：</w:t>
      </w:r>
    </w:p>
    <w:p w14:paraId="42569621">
      <w:pPr>
        <w:spacing w:line="480" w:lineRule="exact"/>
        <w:rPr>
          <w:rFonts w:ascii="宋体"/>
        </w:rPr>
      </w:pPr>
      <w:r>
        <w:rPr>
          <w:rFonts w:hint="eastAsia" w:ascii="宋体" w:hAnsi="宋体" w:cs="宋体"/>
          <w:b/>
          <w:bCs/>
        </w:rPr>
        <w:t>相关请求及主张</w:t>
      </w:r>
      <w:r>
        <w:rPr>
          <w:rFonts w:ascii="宋体" w:hAnsi="宋体" w:cs="宋体"/>
          <w:b/>
          <w:bCs/>
        </w:rPr>
        <w:t>:</w:t>
      </w:r>
    </w:p>
    <w:p w14:paraId="7AEF4966">
      <w:pPr>
        <w:spacing w:line="480" w:lineRule="exact"/>
        <w:rPr>
          <w:rFonts w:ascii="宋体"/>
        </w:rPr>
      </w:pPr>
      <w:r>
        <w:rPr>
          <w:rFonts w:hint="eastAsia" w:ascii="宋体" w:hAnsi="宋体" w:cs="宋体"/>
          <w:b/>
          <w:bCs/>
        </w:rPr>
        <w:t>相关证明材料及有效线索</w:t>
      </w:r>
      <w:r>
        <w:rPr>
          <w:rFonts w:ascii="宋体" w:hAnsi="宋体" w:cs="宋体"/>
          <w:b/>
          <w:bCs/>
        </w:rPr>
        <w:t>:</w:t>
      </w:r>
    </w:p>
    <w:p w14:paraId="5C9FEBC7">
      <w:pPr>
        <w:spacing w:line="480" w:lineRule="exact"/>
        <w:rPr>
          <w:rFonts w:ascii="宋体"/>
        </w:rPr>
      </w:pPr>
      <w:r>
        <w:rPr>
          <w:rFonts w:hint="eastAsia" w:ascii="宋体" w:hAnsi="宋体" w:cs="宋体"/>
          <w:b/>
          <w:bCs/>
        </w:rPr>
        <w:t>投诉人与投诉项目有利害关系的证明材料</w:t>
      </w:r>
      <w:r>
        <w:rPr>
          <w:rFonts w:ascii="宋体" w:hAnsi="宋体" w:cs="宋体"/>
          <w:b/>
          <w:bCs/>
        </w:rPr>
        <w:t>:</w:t>
      </w:r>
    </w:p>
    <w:p w14:paraId="4C3D4B51">
      <w:pPr>
        <w:spacing w:line="480" w:lineRule="exact"/>
        <w:rPr>
          <w:rFonts w:ascii="宋体"/>
          <w:b/>
          <w:bCs/>
        </w:rPr>
      </w:pPr>
      <w:r>
        <w:rPr>
          <w:rFonts w:hint="eastAsia" w:ascii="宋体" w:hAnsi="宋体" w:cs="宋体"/>
          <w:b/>
          <w:bCs/>
        </w:rPr>
        <w:t>对异议事项进行投诉的，异议的证明文件及招标人异议答复书：</w:t>
      </w:r>
    </w:p>
    <w:p w14:paraId="0E39935A">
      <w:pPr>
        <w:spacing w:line="480" w:lineRule="exact"/>
        <w:rPr>
          <w:rFonts w:ascii="宋体"/>
        </w:rPr>
      </w:pPr>
      <w:r>
        <w:rPr>
          <w:rFonts w:hint="eastAsia" w:ascii="宋体" w:hAnsi="宋体" w:cs="宋体"/>
        </w:rPr>
        <w:t>投诉人（加盖公章）</w:t>
      </w:r>
    </w:p>
    <w:p w14:paraId="12570332">
      <w:pPr>
        <w:spacing w:line="480" w:lineRule="exact"/>
        <w:rPr>
          <w:rFonts w:ascii="宋体"/>
        </w:rPr>
      </w:pPr>
      <w:r>
        <w:rPr>
          <w:rFonts w:hint="eastAsia" w:ascii="宋体" w:hAnsi="宋体" w:cs="宋体"/>
        </w:rPr>
        <w:t>法定代表人（签字）</w:t>
      </w:r>
    </w:p>
    <w:p w14:paraId="371981B0">
      <w:pPr>
        <w:spacing w:line="480" w:lineRule="exact"/>
        <w:rPr>
          <w:rFonts w:ascii="宋体"/>
        </w:rPr>
      </w:pPr>
      <w:r>
        <w:rPr>
          <w:rFonts w:hint="eastAsia" w:ascii="宋体" w:hAnsi="宋体" w:cs="宋体"/>
        </w:rPr>
        <w:t>年月日</w:t>
      </w:r>
    </w:p>
    <w:p w14:paraId="1E113255">
      <w:pPr>
        <w:spacing w:line="480" w:lineRule="exact"/>
        <w:rPr>
          <w:rFonts w:ascii="宋体"/>
        </w:rPr>
      </w:pPr>
      <w:r>
        <w:rPr>
          <w:rFonts w:hint="eastAsia" w:ascii="宋体" w:hAnsi="宋体" w:cs="宋体"/>
        </w:rPr>
        <w:t>说明：</w:t>
      </w:r>
    </w:p>
    <w:p w14:paraId="28308DA9">
      <w:pPr>
        <w:spacing w:line="480" w:lineRule="exact"/>
        <w:rPr>
          <w:rFonts w:ascii="宋体"/>
        </w:rPr>
      </w:pPr>
      <w:r>
        <w:rPr>
          <w:rFonts w:ascii="宋体" w:hAnsi="宋体" w:cs="宋体"/>
        </w:rPr>
        <w:t>1.</w:t>
      </w:r>
      <w:r>
        <w:rPr>
          <w:rFonts w:hint="eastAsia" w:ascii="宋体" w:hAnsi="宋体" w:cs="宋体"/>
        </w:rPr>
        <w:t>投诉人是法人的，投诉书必须由其法定代表人或者授权代表签字并盖章。其他组织或者自然人提出投诉的，投诉书必须由其主要负责人或者异议人本人签字，并附有效身份证明复印件。</w:t>
      </w:r>
    </w:p>
    <w:p w14:paraId="255CB6EB">
      <w:pPr>
        <w:spacing w:line="480" w:lineRule="exact"/>
        <w:rPr>
          <w:rFonts w:ascii="宋体"/>
        </w:rPr>
      </w:pPr>
      <w:r>
        <w:rPr>
          <w:rFonts w:ascii="宋体" w:hAnsi="宋体" w:cs="宋体"/>
        </w:rPr>
        <w:t>2.</w:t>
      </w:r>
      <w:r>
        <w:rPr>
          <w:rFonts w:hint="eastAsia" w:ascii="宋体" w:hAnsi="宋体" w:cs="宋体"/>
        </w:rPr>
        <w:t>投诉书有关材料是外文的，投诉人应当同时提供其中文译本。</w:t>
      </w:r>
    </w:p>
    <w:p w14:paraId="2ADD138B">
      <w:pPr>
        <w:spacing w:line="360" w:lineRule="auto"/>
        <w:ind w:firstLine="420" w:firstLineChars="200"/>
        <w:rPr>
          <w:rFonts w:ascii="宋体"/>
        </w:rPr>
      </w:pPr>
      <w:r>
        <w:rPr>
          <w:rFonts w:ascii="宋体" w:hAnsi="宋体" w:cs="宋体"/>
        </w:rPr>
        <w:t>3.</w:t>
      </w:r>
      <w:r>
        <w:rPr>
          <w:rFonts w:hint="eastAsia" w:ascii="宋体" w:hAnsi="宋体" w:cs="宋体"/>
        </w:rPr>
        <w:t>投诉人可以自己直接提交异议书，也可以委托代理人办理投诉事务。代理人办理投诉事务时，应当将授权委托书连同投诉书一并提交给监管机构。授权委托书应当明确有关委托代理权限和事项。</w:t>
      </w:r>
    </w:p>
    <w:bookmarkEnd w:id="129"/>
    <w:p w14:paraId="53268B57">
      <w:pPr>
        <w:pStyle w:val="4"/>
        <w:rPr>
          <w:rFonts w:ascii="宋体" w:hAnsi="宋体" w:eastAsia="宋体" w:cs="宋体"/>
          <w:sz w:val="21"/>
          <w:szCs w:val="21"/>
        </w:rPr>
      </w:pPr>
      <w:bookmarkStart w:id="130" w:name="_Toc498006695"/>
      <w:r>
        <w:rPr>
          <w:rFonts w:ascii="宋体" w:hAnsi="宋体" w:eastAsia="宋体" w:cs="宋体"/>
          <w:sz w:val="21"/>
          <w:szCs w:val="21"/>
        </w:rPr>
        <w:t xml:space="preserve">9 </w:t>
      </w:r>
      <w:r>
        <w:rPr>
          <w:rFonts w:hint="eastAsia" w:ascii="宋体" w:hAnsi="宋体" w:eastAsia="宋体" w:cs="宋体"/>
          <w:sz w:val="21"/>
          <w:szCs w:val="21"/>
        </w:rPr>
        <w:t>解释权</w:t>
      </w:r>
      <w:bookmarkEnd w:id="130"/>
    </w:p>
    <w:p w14:paraId="34AB4075">
      <w:pPr>
        <w:spacing w:line="360" w:lineRule="auto"/>
        <w:ind w:firstLine="420" w:firstLineChars="200"/>
        <w:rPr>
          <w:rFonts w:ascii="宋体"/>
        </w:rPr>
      </w:pPr>
      <w:r>
        <w:rPr>
          <w:rFonts w:hint="eastAsia" w:ascii="宋体" w:hAnsi="宋体" w:cs="宋体"/>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22F138A7">
      <w:pPr>
        <w:widowControl/>
        <w:ind w:firstLine="420" w:firstLineChars="200"/>
        <w:jc w:val="left"/>
        <w:rPr>
          <w:rFonts w:ascii="宋体"/>
        </w:rPr>
        <w:sectPr>
          <w:pgSz w:w="11907" w:h="16840"/>
          <w:pgMar w:top="1440" w:right="1559" w:bottom="1440" w:left="1560" w:header="851" w:footer="851" w:gutter="0"/>
          <w:cols w:space="720" w:num="1"/>
          <w:docGrid w:linePitch="312" w:charSpace="0"/>
        </w:sectPr>
      </w:pPr>
    </w:p>
    <w:p w14:paraId="3BEAEAA1">
      <w:pPr>
        <w:pStyle w:val="260"/>
        <w:numPr>
          <w:ilvl w:val="0"/>
          <w:numId w:val="1"/>
        </w:numPr>
        <w:ind w:firstLineChars="0"/>
        <w:jc w:val="center"/>
        <w:rPr>
          <w:rFonts w:ascii="宋体"/>
          <w:color w:val="FF0000"/>
          <w:sz w:val="36"/>
          <w:szCs w:val="36"/>
        </w:rPr>
      </w:pPr>
      <w:bookmarkStart w:id="131" w:name="_Toc498006727"/>
      <w:bookmarkStart w:id="132" w:name="_Toc358476596"/>
      <w:r>
        <w:rPr>
          <w:rFonts w:hint="eastAsia" w:ascii="宋体" w:hAnsi="宋体" w:cs="宋体"/>
          <w:sz w:val="36"/>
          <w:szCs w:val="36"/>
          <w:highlight w:val="white"/>
        </w:rPr>
        <w:t xml:space="preserve"> 评标办法（经评审的最低投标价法）</w:t>
      </w:r>
      <w:bookmarkEnd w:id="131"/>
    </w:p>
    <w:tbl>
      <w:tblPr>
        <w:tblStyle w:val="51"/>
        <w:tblpPr w:leftFromText="180" w:rightFromText="180" w:vertAnchor="text" w:horzAnchor="page" w:tblpX="949" w:tblpY="416"/>
        <w:tblOverlap w:val="never"/>
        <w:tblW w:w="10073"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794"/>
        <w:gridCol w:w="103"/>
        <w:gridCol w:w="1805"/>
        <w:gridCol w:w="290"/>
        <w:gridCol w:w="2195"/>
        <w:gridCol w:w="4886"/>
      </w:tblGrid>
      <w:tr w14:paraId="35E170C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0AC15D9A">
            <w:pPr>
              <w:spacing w:line="300" w:lineRule="exact"/>
              <w:jc w:val="center"/>
              <w:rPr>
                <w:rFonts w:ascii="宋体"/>
              </w:rPr>
            </w:pPr>
            <w:bookmarkStart w:id="133" w:name="_Toc498006728"/>
            <w:r>
              <w:rPr>
                <w:rFonts w:ascii="宋体" w:hAnsi="宋体" w:cs="宋体"/>
              </w:rPr>
              <w:t>2.1</w:t>
            </w:r>
            <w:r>
              <w:rPr>
                <w:rFonts w:hint="eastAsia" w:ascii="宋体" w:hAnsi="宋体" w:cs="宋体"/>
              </w:rPr>
              <w:t>评标入围</w:t>
            </w:r>
          </w:p>
        </w:tc>
      </w:tr>
      <w:tr w14:paraId="745036F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0" w:hRule="atLeast"/>
        </w:trPr>
        <w:tc>
          <w:tcPr>
            <w:tcW w:w="794" w:type="dxa"/>
            <w:tcBorders>
              <w:top w:val="outset" w:color="auto" w:sz="6" w:space="0"/>
              <w:left w:val="outset" w:color="auto" w:sz="6" w:space="0"/>
              <w:bottom w:val="outset" w:color="auto" w:sz="6" w:space="0"/>
              <w:right w:val="single" w:color="auto" w:sz="4" w:space="0"/>
            </w:tcBorders>
            <w:vAlign w:val="center"/>
          </w:tcPr>
          <w:p w14:paraId="7FBCB33D">
            <w:pPr>
              <w:spacing w:line="300" w:lineRule="exact"/>
              <w:jc w:val="center"/>
              <w:rPr>
                <w:rFonts w:ascii="宋体"/>
                <w:b/>
                <w:bCs/>
              </w:rPr>
            </w:pPr>
            <w:r>
              <w:rPr>
                <w:rFonts w:hint="eastAsia" w:ascii="宋体" w:hAnsi="宋体" w:cs="宋体"/>
                <w:b/>
                <w:bCs/>
              </w:rPr>
              <w:t>条款号</w:t>
            </w:r>
          </w:p>
        </w:tc>
        <w:tc>
          <w:tcPr>
            <w:tcW w:w="1908" w:type="dxa"/>
            <w:gridSpan w:val="2"/>
            <w:tcBorders>
              <w:top w:val="outset" w:color="auto" w:sz="6" w:space="0"/>
              <w:left w:val="single" w:color="auto" w:sz="4" w:space="0"/>
              <w:bottom w:val="outset" w:color="auto" w:sz="6" w:space="0"/>
              <w:right w:val="single" w:color="auto" w:sz="4" w:space="0"/>
            </w:tcBorders>
            <w:vAlign w:val="center"/>
          </w:tcPr>
          <w:p w14:paraId="708AAC39">
            <w:pPr>
              <w:spacing w:line="300" w:lineRule="exact"/>
              <w:jc w:val="center"/>
              <w:rPr>
                <w:rFonts w:ascii="宋体"/>
                <w:b/>
                <w:bCs/>
              </w:rPr>
            </w:pPr>
            <w:r>
              <w:rPr>
                <w:rFonts w:hint="eastAsia" w:ascii="宋体" w:hAnsi="宋体" w:cs="宋体"/>
                <w:b/>
                <w:bCs/>
              </w:rPr>
              <w:t>评审因素</w:t>
            </w:r>
          </w:p>
        </w:tc>
        <w:tc>
          <w:tcPr>
            <w:tcW w:w="7371" w:type="dxa"/>
            <w:gridSpan w:val="3"/>
            <w:tcBorders>
              <w:top w:val="outset" w:color="auto" w:sz="6" w:space="0"/>
              <w:left w:val="single" w:color="auto" w:sz="4" w:space="0"/>
              <w:bottom w:val="outset" w:color="auto" w:sz="6" w:space="0"/>
              <w:right w:val="outset" w:color="auto" w:sz="6" w:space="0"/>
            </w:tcBorders>
            <w:vAlign w:val="center"/>
          </w:tcPr>
          <w:p w14:paraId="7B88FA1C">
            <w:pPr>
              <w:spacing w:line="300" w:lineRule="exact"/>
              <w:jc w:val="center"/>
              <w:rPr>
                <w:rFonts w:ascii="宋体"/>
                <w:b/>
                <w:bCs/>
              </w:rPr>
            </w:pPr>
            <w:r>
              <w:rPr>
                <w:rFonts w:hint="eastAsia" w:ascii="宋体" w:hAnsi="宋体" w:cs="宋体"/>
                <w:b/>
                <w:bCs/>
              </w:rPr>
              <w:t>评审标准</w:t>
            </w:r>
          </w:p>
        </w:tc>
      </w:tr>
      <w:tr w14:paraId="5CAAF7A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5" w:hRule="atLeast"/>
        </w:trPr>
        <w:tc>
          <w:tcPr>
            <w:tcW w:w="794" w:type="dxa"/>
            <w:tcBorders>
              <w:top w:val="outset" w:color="auto" w:sz="6" w:space="0"/>
              <w:left w:val="outset" w:color="auto" w:sz="6" w:space="0"/>
              <w:bottom w:val="outset" w:color="auto" w:sz="6" w:space="0"/>
              <w:right w:val="outset" w:color="auto" w:sz="6" w:space="0"/>
            </w:tcBorders>
            <w:vAlign w:val="center"/>
          </w:tcPr>
          <w:p w14:paraId="50265029">
            <w:pPr>
              <w:spacing w:line="300" w:lineRule="exact"/>
              <w:jc w:val="center"/>
              <w:rPr>
                <w:rFonts w:ascii="宋体"/>
              </w:rPr>
            </w:pPr>
            <w:r>
              <w:rPr>
                <w:rFonts w:ascii="宋体" w:hAnsi="宋体" w:cs="宋体"/>
              </w:rPr>
              <w:t>2.1.1</w:t>
            </w:r>
          </w:p>
        </w:tc>
        <w:tc>
          <w:tcPr>
            <w:tcW w:w="1908" w:type="dxa"/>
            <w:gridSpan w:val="2"/>
            <w:tcBorders>
              <w:top w:val="outset" w:color="auto" w:sz="6" w:space="0"/>
              <w:left w:val="outset" w:color="auto" w:sz="6" w:space="0"/>
              <w:bottom w:val="outset" w:color="auto" w:sz="6" w:space="0"/>
              <w:right w:val="outset" w:color="auto" w:sz="6" w:space="0"/>
            </w:tcBorders>
            <w:vAlign w:val="center"/>
          </w:tcPr>
          <w:p w14:paraId="6C023E30">
            <w:pPr>
              <w:autoSpaceDE w:val="0"/>
              <w:autoSpaceDN w:val="0"/>
              <w:adjustRightInd w:val="0"/>
              <w:spacing w:before="73" w:line="400" w:lineRule="exact"/>
              <w:ind w:right="-20"/>
              <w:jc w:val="center"/>
              <w:rPr>
                <w:rFonts w:ascii="宋体"/>
                <w:kern w:val="0"/>
              </w:rPr>
            </w:pPr>
            <w:r>
              <w:rPr>
                <w:rFonts w:hint="eastAsia" w:cs="宋体"/>
                <w:kern w:val="0"/>
              </w:rPr>
              <w:t>评标入围条件</w:t>
            </w:r>
          </w:p>
        </w:tc>
        <w:tc>
          <w:tcPr>
            <w:tcW w:w="7371" w:type="dxa"/>
            <w:gridSpan w:val="3"/>
            <w:tcBorders>
              <w:top w:val="outset" w:color="auto" w:sz="6" w:space="0"/>
              <w:left w:val="outset" w:color="auto" w:sz="6" w:space="0"/>
              <w:bottom w:val="outset" w:color="auto" w:sz="6" w:space="0"/>
              <w:right w:val="outset" w:color="auto" w:sz="6" w:space="0"/>
            </w:tcBorders>
          </w:tcPr>
          <w:p w14:paraId="2C6E64EE">
            <w:pPr>
              <w:spacing w:line="400" w:lineRule="exact"/>
            </w:pPr>
            <w:r>
              <w:rPr>
                <w:rFonts w:hint="eastAsia" w:cs="宋体"/>
              </w:rPr>
              <w:t>投标文件存在所列情况之一的，不再进行后续评标</w:t>
            </w:r>
          </w:p>
          <w:p w14:paraId="0B57149B">
            <w:pPr>
              <w:spacing w:line="400" w:lineRule="exact"/>
            </w:pPr>
            <w:r>
              <w:rPr>
                <w:szCs w:val="20"/>
              </w:rPr>
              <w:sym w:font="Wingdings 2" w:char="F052"/>
            </w:r>
            <w:r>
              <w:rPr>
                <w:rFonts w:hint="eastAsia" w:cs="宋体"/>
              </w:rPr>
              <w:t>至投标截止时间止，未足额递交投标保证金；</w:t>
            </w:r>
          </w:p>
          <w:p w14:paraId="38F1C8F6">
            <w:pPr>
              <w:spacing w:line="400" w:lineRule="exact"/>
            </w:pPr>
            <w:r>
              <w:rPr>
                <w:szCs w:val="20"/>
              </w:rPr>
              <w:sym w:font="Wingdings 2" w:char="F052"/>
            </w:r>
            <w:r>
              <w:rPr>
                <w:rFonts w:hint="eastAsia" w:cs="宋体"/>
              </w:rPr>
              <w:t>投标函中载明的招标项目完成期限超过招标文件规定的期限；</w:t>
            </w:r>
          </w:p>
          <w:p w14:paraId="72C7CC78">
            <w:pPr>
              <w:spacing w:line="400" w:lineRule="exact"/>
              <w:rPr>
                <w:rFonts w:ascii="宋体"/>
                <w:b/>
                <w:bCs/>
              </w:rPr>
            </w:pPr>
            <w:r>
              <w:rPr>
                <w:szCs w:val="20"/>
              </w:rPr>
              <w:sym w:font="Wingdings 2" w:char="F052"/>
            </w:r>
            <w:r>
              <w:rPr>
                <w:rFonts w:hint="eastAsia" w:cs="宋体"/>
              </w:rPr>
              <w:t>投标函中载明的投标质量标准未响应招标文件的实质性要求和条件。</w:t>
            </w:r>
          </w:p>
        </w:tc>
      </w:tr>
      <w:tr w14:paraId="095723E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5" w:hRule="atLeast"/>
        </w:trPr>
        <w:tc>
          <w:tcPr>
            <w:tcW w:w="794" w:type="dxa"/>
            <w:tcBorders>
              <w:top w:val="outset" w:color="auto" w:sz="6" w:space="0"/>
              <w:left w:val="outset" w:color="auto" w:sz="6" w:space="0"/>
              <w:bottom w:val="outset" w:color="auto" w:sz="6" w:space="0"/>
              <w:right w:val="outset" w:color="auto" w:sz="6" w:space="0"/>
            </w:tcBorders>
            <w:vAlign w:val="center"/>
          </w:tcPr>
          <w:p w14:paraId="32E44A43">
            <w:pPr>
              <w:spacing w:line="300" w:lineRule="exact"/>
              <w:jc w:val="center"/>
              <w:rPr>
                <w:rFonts w:ascii="宋体"/>
              </w:rPr>
            </w:pPr>
            <w:r>
              <w:rPr>
                <w:rFonts w:ascii="宋体" w:hAnsi="宋体" w:cs="宋体"/>
              </w:rPr>
              <w:t>2.1.2</w:t>
            </w:r>
          </w:p>
        </w:tc>
        <w:tc>
          <w:tcPr>
            <w:tcW w:w="1908" w:type="dxa"/>
            <w:gridSpan w:val="2"/>
            <w:tcBorders>
              <w:top w:val="outset" w:color="auto" w:sz="6" w:space="0"/>
              <w:left w:val="outset" w:color="auto" w:sz="6" w:space="0"/>
              <w:bottom w:val="outset" w:color="auto" w:sz="6" w:space="0"/>
              <w:right w:val="outset" w:color="auto" w:sz="6" w:space="0"/>
            </w:tcBorders>
            <w:vAlign w:val="center"/>
          </w:tcPr>
          <w:p w14:paraId="34B8B404">
            <w:pPr>
              <w:autoSpaceDE w:val="0"/>
              <w:autoSpaceDN w:val="0"/>
              <w:adjustRightInd w:val="0"/>
              <w:spacing w:before="73" w:line="400" w:lineRule="exact"/>
              <w:ind w:right="-20"/>
              <w:jc w:val="center"/>
              <w:rPr>
                <w:rFonts w:cs="宋体"/>
                <w:kern w:val="0"/>
              </w:rPr>
            </w:pPr>
            <w:r>
              <w:rPr>
                <w:rFonts w:hint="eastAsia" w:cs="宋体"/>
                <w:kern w:val="0"/>
              </w:rPr>
              <w:t>资格审查入围方法</w:t>
            </w:r>
          </w:p>
          <w:p w14:paraId="33CC0F2A">
            <w:pPr>
              <w:autoSpaceDE w:val="0"/>
              <w:autoSpaceDN w:val="0"/>
              <w:adjustRightInd w:val="0"/>
              <w:spacing w:before="73" w:line="400" w:lineRule="exact"/>
              <w:ind w:right="-20"/>
              <w:jc w:val="center"/>
              <w:rPr>
                <w:rFonts w:ascii="宋体"/>
                <w:kern w:val="0"/>
              </w:rPr>
            </w:pPr>
            <w:r>
              <w:rPr>
                <w:rFonts w:hint="eastAsia" w:cs="宋体"/>
                <w:kern w:val="0"/>
              </w:rPr>
              <w:t>和数量</w:t>
            </w:r>
          </w:p>
        </w:tc>
        <w:tc>
          <w:tcPr>
            <w:tcW w:w="7371" w:type="dxa"/>
            <w:gridSpan w:val="3"/>
            <w:tcBorders>
              <w:top w:val="outset" w:color="auto" w:sz="6" w:space="0"/>
              <w:left w:val="outset" w:color="auto" w:sz="6" w:space="0"/>
              <w:bottom w:val="outset" w:color="auto" w:sz="6" w:space="0"/>
              <w:right w:val="outset" w:color="auto" w:sz="6" w:space="0"/>
            </w:tcBorders>
            <w:vAlign w:val="center"/>
          </w:tcPr>
          <w:p w14:paraId="1ACE08EE">
            <w:pPr>
              <w:spacing w:line="400" w:lineRule="exact"/>
              <w:rPr>
                <w:rFonts w:ascii="宋体"/>
                <w:b/>
                <w:bCs/>
              </w:rPr>
            </w:pPr>
            <w:r>
              <w:rPr>
                <w:rFonts w:hint="eastAsia"/>
              </w:rPr>
              <w:t>全部入围。</w:t>
            </w:r>
          </w:p>
        </w:tc>
      </w:tr>
      <w:tr w14:paraId="25A5B8F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39F2A9F2">
            <w:pPr>
              <w:spacing w:line="300" w:lineRule="exact"/>
              <w:jc w:val="center"/>
              <w:rPr>
                <w:rFonts w:ascii="宋体"/>
              </w:rPr>
            </w:pPr>
            <w:r>
              <w:rPr>
                <w:rFonts w:ascii="宋体" w:hAnsi="宋体" w:cs="宋体"/>
              </w:rPr>
              <w:t>2.2</w:t>
            </w:r>
            <w:r>
              <w:rPr>
                <w:rFonts w:hint="eastAsia" w:ascii="宋体" w:hAnsi="宋体" w:cs="宋体"/>
              </w:rPr>
              <w:t>初步评审</w:t>
            </w:r>
          </w:p>
        </w:tc>
      </w:tr>
      <w:tr w14:paraId="210EB47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2702" w:type="dxa"/>
            <w:gridSpan w:val="3"/>
            <w:tcBorders>
              <w:top w:val="outset" w:color="auto" w:sz="6" w:space="0"/>
              <w:left w:val="outset" w:color="auto" w:sz="6" w:space="0"/>
              <w:bottom w:val="outset" w:color="auto" w:sz="6" w:space="0"/>
              <w:right w:val="outset" w:color="auto" w:sz="6" w:space="0"/>
            </w:tcBorders>
            <w:vAlign w:val="center"/>
          </w:tcPr>
          <w:p w14:paraId="3E7C44EC">
            <w:pPr>
              <w:spacing w:line="300" w:lineRule="exact"/>
              <w:jc w:val="center"/>
              <w:rPr>
                <w:rFonts w:ascii="宋体"/>
              </w:rPr>
            </w:pPr>
            <w:r>
              <w:rPr>
                <w:rFonts w:hint="eastAsia" w:ascii="宋体" w:hAnsi="宋体" w:cs="宋体"/>
              </w:rPr>
              <w:t>条款号</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9E9EBEE">
            <w:pPr>
              <w:spacing w:line="300" w:lineRule="exact"/>
              <w:jc w:val="center"/>
              <w:rPr>
                <w:rFonts w:ascii="宋体"/>
              </w:rPr>
            </w:pPr>
            <w:r>
              <w:rPr>
                <w:rFonts w:hint="eastAsia" w:ascii="宋体" w:hAnsi="宋体" w:cs="宋体"/>
              </w:rPr>
              <w:t>评审因素</w:t>
            </w:r>
          </w:p>
        </w:tc>
        <w:tc>
          <w:tcPr>
            <w:tcW w:w="4886" w:type="dxa"/>
            <w:tcBorders>
              <w:top w:val="outset" w:color="auto" w:sz="6" w:space="0"/>
              <w:left w:val="outset" w:color="auto" w:sz="6" w:space="0"/>
              <w:bottom w:val="outset" w:color="auto" w:sz="6" w:space="0"/>
              <w:right w:val="outset" w:color="auto" w:sz="6" w:space="0"/>
            </w:tcBorders>
            <w:vAlign w:val="center"/>
          </w:tcPr>
          <w:p w14:paraId="3DEE90A5">
            <w:pPr>
              <w:spacing w:line="300" w:lineRule="exact"/>
              <w:jc w:val="center"/>
              <w:rPr>
                <w:rFonts w:ascii="宋体"/>
              </w:rPr>
            </w:pPr>
            <w:r>
              <w:rPr>
                <w:rFonts w:hint="eastAsia" w:ascii="宋体" w:hAnsi="宋体" w:cs="宋体"/>
              </w:rPr>
              <w:t>评审标准</w:t>
            </w:r>
          </w:p>
        </w:tc>
      </w:tr>
      <w:tr w14:paraId="7C037F7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restart"/>
            <w:tcBorders>
              <w:top w:val="outset" w:color="auto" w:sz="6" w:space="0"/>
              <w:left w:val="outset" w:color="auto" w:sz="6" w:space="0"/>
              <w:right w:val="outset" w:color="auto" w:sz="6" w:space="0"/>
            </w:tcBorders>
            <w:vAlign w:val="center"/>
          </w:tcPr>
          <w:p w14:paraId="4E0B0A6B">
            <w:pPr>
              <w:spacing w:line="300" w:lineRule="exact"/>
              <w:jc w:val="center"/>
              <w:rPr>
                <w:rFonts w:ascii="宋体"/>
              </w:rPr>
            </w:pPr>
            <w:r>
              <w:rPr>
                <w:rFonts w:ascii="宋体" w:hAnsi="宋体" w:cs="宋体"/>
              </w:rPr>
              <w:t>2.2.1</w:t>
            </w:r>
          </w:p>
        </w:tc>
        <w:tc>
          <w:tcPr>
            <w:tcW w:w="1908" w:type="dxa"/>
            <w:gridSpan w:val="2"/>
            <w:vMerge w:val="restart"/>
            <w:tcBorders>
              <w:top w:val="outset" w:color="auto" w:sz="6" w:space="0"/>
              <w:left w:val="outset" w:color="auto" w:sz="6" w:space="0"/>
              <w:right w:val="outset" w:color="auto" w:sz="6" w:space="0"/>
            </w:tcBorders>
            <w:vAlign w:val="center"/>
          </w:tcPr>
          <w:p w14:paraId="6CB408E5">
            <w:pPr>
              <w:spacing w:line="300" w:lineRule="exact"/>
              <w:jc w:val="center"/>
              <w:rPr>
                <w:rFonts w:ascii="宋体"/>
              </w:rPr>
            </w:pPr>
            <w:r>
              <w:rPr>
                <w:rFonts w:hint="eastAsia" w:ascii="宋体" w:hAnsi="宋体" w:cs="宋体"/>
              </w:rPr>
              <w:t>资格评审标准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A710380">
            <w:pPr>
              <w:spacing w:line="300" w:lineRule="exact"/>
              <w:jc w:val="left"/>
              <w:rPr>
                <w:rFonts w:ascii="宋体" w:hAnsi="宋体" w:cs="宋体"/>
              </w:rPr>
            </w:pPr>
            <w:r>
              <w:rPr>
                <w:rFonts w:hint="eastAsia" w:ascii="宋体" w:hAnsi="宋体" w:cs="宋体"/>
              </w:rPr>
              <w:t>法人身份证明书</w:t>
            </w:r>
          </w:p>
          <w:p w14:paraId="67006AF5">
            <w:pPr>
              <w:spacing w:line="300" w:lineRule="exact"/>
              <w:jc w:val="left"/>
              <w:rPr>
                <w:rFonts w:ascii="宋体"/>
              </w:rPr>
            </w:pPr>
            <w:r>
              <w:rPr>
                <w:rFonts w:hint="eastAsia" w:ascii="宋体" w:hAnsi="宋体" w:cs="宋体"/>
              </w:rPr>
              <w:t>法人授权委托书（如有）</w:t>
            </w:r>
          </w:p>
        </w:tc>
        <w:tc>
          <w:tcPr>
            <w:tcW w:w="4886" w:type="dxa"/>
            <w:tcBorders>
              <w:top w:val="outset" w:color="auto" w:sz="6" w:space="0"/>
              <w:left w:val="outset" w:color="auto" w:sz="6" w:space="0"/>
              <w:bottom w:val="outset" w:color="auto" w:sz="6" w:space="0"/>
              <w:right w:val="outset" w:color="auto" w:sz="6" w:space="0"/>
            </w:tcBorders>
            <w:vAlign w:val="center"/>
          </w:tcPr>
          <w:p w14:paraId="76C2847F">
            <w:pPr>
              <w:spacing w:line="300" w:lineRule="exact"/>
              <w:jc w:val="left"/>
              <w:textAlignment w:val="center"/>
              <w:rPr>
                <w:rFonts w:ascii="宋体"/>
              </w:rPr>
            </w:pPr>
            <w:r>
              <w:rPr>
                <w:rFonts w:hint="eastAsia" w:ascii="宋体" w:hAnsi="宋体" w:cs="宋体"/>
              </w:rPr>
              <w:t>真实有效</w:t>
            </w:r>
          </w:p>
        </w:tc>
      </w:tr>
      <w:tr w14:paraId="3D7D04F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3C1AF6C0">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4F5FECC4">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1A384D9">
            <w:pPr>
              <w:spacing w:line="300" w:lineRule="exact"/>
              <w:jc w:val="left"/>
              <w:rPr>
                <w:rFonts w:ascii="宋体"/>
                <w:highlight w:val="none"/>
              </w:rPr>
            </w:pPr>
            <w:r>
              <w:rPr>
                <w:rFonts w:hint="eastAsia" w:ascii="宋体" w:hAnsi="宋体" w:cs="宋体"/>
                <w:highlight w:val="none"/>
              </w:rPr>
              <w:t>营业执照</w:t>
            </w:r>
          </w:p>
        </w:tc>
        <w:tc>
          <w:tcPr>
            <w:tcW w:w="4886" w:type="dxa"/>
            <w:tcBorders>
              <w:top w:val="outset" w:color="auto" w:sz="6" w:space="0"/>
              <w:left w:val="outset" w:color="auto" w:sz="6" w:space="0"/>
              <w:bottom w:val="outset" w:color="auto" w:sz="6" w:space="0"/>
              <w:right w:val="outset" w:color="auto" w:sz="6" w:space="0"/>
            </w:tcBorders>
            <w:vAlign w:val="center"/>
          </w:tcPr>
          <w:p w14:paraId="2839F2AD">
            <w:pPr>
              <w:spacing w:line="300" w:lineRule="exact"/>
              <w:jc w:val="left"/>
              <w:rPr>
                <w:rFonts w:ascii="宋体"/>
                <w:highlight w:val="none"/>
              </w:rPr>
            </w:pPr>
            <w:r>
              <w:rPr>
                <w:rFonts w:hint="eastAsia" w:ascii="宋体" w:hAnsi="宋体" w:cs="宋体"/>
                <w:highlight w:val="none"/>
              </w:rPr>
              <w:t>具有有效的企业法人营业执照</w:t>
            </w:r>
          </w:p>
        </w:tc>
      </w:tr>
      <w:tr w14:paraId="5918830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3C425F2C">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5C33D52F">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ECC904C">
            <w:pPr>
              <w:spacing w:line="300" w:lineRule="exact"/>
              <w:jc w:val="left"/>
              <w:rPr>
                <w:rFonts w:hint="default" w:ascii="宋体" w:hAnsi="宋体" w:eastAsia="宋体" w:cs="宋体"/>
                <w:highlight w:val="none"/>
                <w:lang w:val="en-US" w:eastAsia="zh-CN"/>
              </w:rPr>
            </w:pPr>
            <w:r>
              <w:rPr>
                <w:rFonts w:hint="eastAsia" w:ascii="宋体" w:hAnsi="宋体" w:cs="宋体"/>
                <w:highlight w:val="none"/>
                <w:lang w:val="en-US" w:eastAsia="zh-CN"/>
              </w:rPr>
              <w:t>资质证书</w:t>
            </w:r>
          </w:p>
        </w:tc>
        <w:tc>
          <w:tcPr>
            <w:tcW w:w="4886" w:type="dxa"/>
            <w:tcBorders>
              <w:top w:val="outset" w:color="auto" w:sz="6" w:space="0"/>
              <w:left w:val="outset" w:color="auto" w:sz="6" w:space="0"/>
              <w:bottom w:val="outset" w:color="auto" w:sz="6" w:space="0"/>
              <w:right w:val="outset" w:color="auto" w:sz="6" w:space="0"/>
            </w:tcBorders>
            <w:vAlign w:val="center"/>
          </w:tcPr>
          <w:p w14:paraId="46FFE5D6">
            <w:pPr>
              <w:spacing w:line="300" w:lineRule="exact"/>
              <w:jc w:val="left"/>
              <w:rPr>
                <w:rFonts w:hint="eastAsia" w:ascii="ˎ̥" w:hAnsi="ˎ̥" w:cs="Arial"/>
                <w:kern w:val="0"/>
                <w:highlight w:val="none"/>
              </w:rPr>
            </w:pPr>
            <w:r>
              <w:rPr>
                <w:rFonts w:hint="eastAsia" w:ascii="宋体" w:hAnsi="宋体" w:cs="宋体"/>
                <w:highlight w:val="none"/>
              </w:rPr>
              <w:t>市政公用工程施工总承包</w:t>
            </w:r>
            <w:r>
              <w:rPr>
                <w:rFonts w:hint="eastAsia" w:ascii="宋体" w:hAnsi="宋体" w:cs="宋体"/>
                <w:highlight w:val="none"/>
                <w:lang w:eastAsia="zh-CN"/>
              </w:rPr>
              <w:t>贰</w:t>
            </w:r>
            <w:r>
              <w:rPr>
                <w:rFonts w:hint="eastAsia" w:ascii="宋体" w:hAnsi="宋体" w:cs="宋体"/>
                <w:highlight w:val="none"/>
              </w:rPr>
              <w:t>级及以上资质</w:t>
            </w:r>
          </w:p>
        </w:tc>
      </w:tr>
      <w:tr w14:paraId="2296090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415BB80E">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5B53BF3A">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76E272C8">
            <w:pPr>
              <w:spacing w:line="300" w:lineRule="exact"/>
              <w:jc w:val="left"/>
              <w:rPr>
                <w:rFonts w:ascii="宋体"/>
                <w:highlight w:val="none"/>
              </w:rPr>
            </w:pPr>
            <w:r>
              <w:rPr>
                <w:rFonts w:hint="eastAsia" w:ascii="宋体" w:hAnsi="宋体" w:cs="宋体"/>
                <w:highlight w:val="none"/>
              </w:rPr>
              <w:t>企业安全生产许可证</w:t>
            </w:r>
          </w:p>
        </w:tc>
        <w:tc>
          <w:tcPr>
            <w:tcW w:w="4886" w:type="dxa"/>
            <w:tcBorders>
              <w:top w:val="outset" w:color="auto" w:sz="6" w:space="0"/>
              <w:left w:val="outset" w:color="auto" w:sz="6" w:space="0"/>
              <w:bottom w:val="outset" w:color="auto" w:sz="6" w:space="0"/>
              <w:right w:val="outset" w:color="auto" w:sz="6" w:space="0"/>
            </w:tcBorders>
            <w:vAlign w:val="center"/>
          </w:tcPr>
          <w:p w14:paraId="44680475">
            <w:pPr>
              <w:spacing w:line="300" w:lineRule="exact"/>
              <w:jc w:val="left"/>
              <w:rPr>
                <w:rFonts w:ascii="宋体" w:hAnsi="宋体" w:cs="宋体"/>
                <w:b/>
                <w:highlight w:val="none"/>
              </w:rPr>
            </w:pPr>
            <w:r>
              <w:rPr>
                <w:rFonts w:hint="eastAsia" w:ascii="ˎ̥" w:hAnsi="ˎ̥" w:cs="Arial"/>
                <w:kern w:val="0"/>
                <w:highlight w:val="none"/>
              </w:rPr>
              <w:t>具有有效的企业安全生产许可证</w:t>
            </w:r>
          </w:p>
        </w:tc>
      </w:tr>
      <w:tr w14:paraId="04859F8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29" w:hRule="atLeast"/>
        </w:trPr>
        <w:tc>
          <w:tcPr>
            <w:tcW w:w="794" w:type="dxa"/>
            <w:vMerge w:val="continue"/>
            <w:tcBorders>
              <w:left w:val="outset" w:color="auto" w:sz="6" w:space="0"/>
              <w:right w:val="outset" w:color="auto" w:sz="6" w:space="0"/>
            </w:tcBorders>
            <w:vAlign w:val="center"/>
          </w:tcPr>
          <w:p w14:paraId="400DBA6C">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0E9ECBB3">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08F5AE3">
            <w:pPr>
              <w:spacing w:line="360" w:lineRule="exact"/>
              <w:jc w:val="left"/>
              <w:rPr>
                <w:rFonts w:ascii="宋体"/>
              </w:rPr>
            </w:pPr>
            <w:r>
              <w:rPr>
                <w:rFonts w:hint="eastAsia" w:ascii="宋体" w:hAnsi="宋体" w:cs="宋体"/>
              </w:rPr>
              <w:t>拟派项目负责人要求</w:t>
            </w:r>
          </w:p>
        </w:tc>
        <w:tc>
          <w:tcPr>
            <w:tcW w:w="4886" w:type="dxa"/>
            <w:tcBorders>
              <w:top w:val="outset" w:color="auto" w:sz="6" w:space="0"/>
              <w:left w:val="outset" w:color="auto" w:sz="6" w:space="0"/>
              <w:bottom w:val="outset" w:color="auto" w:sz="6" w:space="0"/>
              <w:right w:val="outset" w:color="auto" w:sz="6" w:space="0"/>
            </w:tcBorders>
            <w:vAlign w:val="center"/>
          </w:tcPr>
          <w:p w14:paraId="4C2C82DE">
            <w:pPr>
              <w:adjustRightInd w:val="0"/>
              <w:snapToGrid w:val="0"/>
              <w:spacing w:line="360" w:lineRule="exact"/>
              <w:rPr>
                <w:rFonts w:ascii="宋体" w:hAnsi="宋体" w:cs="宋体"/>
              </w:rPr>
            </w:pPr>
            <w:r>
              <w:rPr>
                <w:rFonts w:hint="eastAsia" w:ascii="宋体" w:hAnsi="宋体" w:cs="宋体"/>
              </w:rPr>
              <w:t>市政公用工程专业贰级及以上注册建造师且同时需持有安全考核合格B证(提供有效的建造师证书及安全B证)</w:t>
            </w:r>
          </w:p>
        </w:tc>
      </w:tr>
      <w:tr w14:paraId="7FB2620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29" w:hRule="atLeast"/>
        </w:trPr>
        <w:tc>
          <w:tcPr>
            <w:tcW w:w="794" w:type="dxa"/>
            <w:vMerge w:val="continue"/>
            <w:tcBorders>
              <w:left w:val="outset" w:color="auto" w:sz="6" w:space="0"/>
              <w:right w:val="outset" w:color="auto" w:sz="6" w:space="0"/>
            </w:tcBorders>
            <w:vAlign w:val="center"/>
          </w:tcPr>
          <w:p w14:paraId="4F93E30A">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0857C4E0">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5CCAB50">
            <w:pPr>
              <w:spacing w:line="300" w:lineRule="exact"/>
              <w:jc w:val="left"/>
              <w:rPr>
                <w:rFonts w:ascii="宋体"/>
                <w:highlight w:val="none"/>
              </w:rPr>
            </w:pPr>
            <w:r>
              <w:rPr>
                <w:rFonts w:hint="eastAsia" w:ascii="宋体" w:hAnsi="宋体" w:cs="宋体"/>
                <w:highlight w:val="none"/>
              </w:rPr>
              <w:t>拟派授权委托人及项目负责人为投标企业正式人员</w:t>
            </w:r>
          </w:p>
        </w:tc>
        <w:tc>
          <w:tcPr>
            <w:tcW w:w="4886" w:type="dxa"/>
            <w:tcBorders>
              <w:top w:val="outset" w:color="auto" w:sz="6" w:space="0"/>
              <w:left w:val="outset" w:color="auto" w:sz="6" w:space="0"/>
              <w:bottom w:val="outset" w:color="auto" w:sz="6" w:space="0"/>
              <w:right w:val="outset" w:color="auto" w:sz="6" w:space="0"/>
            </w:tcBorders>
            <w:vAlign w:val="center"/>
          </w:tcPr>
          <w:p w14:paraId="594EB4FB">
            <w:pPr>
              <w:spacing w:line="400" w:lineRule="exact"/>
              <w:jc w:val="left"/>
              <w:rPr>
                <w:rFonts w:ascii="宋体"/>
                <w:highlight w:val="none"/>
              </w:rPr>
            </w:pPr>
            <w:r>
              <w:rPr>
                <w:rFonts w:ascii="宋体" w:hAnsi="宋体" w:cs="宋体"/>
                <w:highlight w:val="none"/>
              </w:rPr>
              <w:t>1</w:t>
            </w:r>
            <w:r>
              <w:rPr>
                <w:rFonts w:hint="eastAsia" w:ascii="宋体" w:hAnsi="宋体" w:cs="宋体"/>
                <w:highlight w:val="none"/>
              </w:rPr>
              <w:t>、投标企业与拟派授权委托人及项目负责人签订的有效劳动合同书；</w:t>
            </w:r>
          </w:p>
          <w:p w14:paraId="6871A23D">
            <w:pPr>
              <w:spacing w:line="300" w:lineRule="exact"/>
              <w:jc w:val="left"/>
              <w:rPr>
                <w:rFonts w:ascii="宋体"/>
                <w:highlight w:val="none"/>
              </w:rPr>
            </w:pPr>
            <w:r>
              <w:rPr>
                <w:rFonts w:ascii="宋体" w:hAnsi="宋体" w:cs="宋体"/>
                <w:highlight w:val="none"/>
              </w:rPr>
              <w:t>2</w:t>
            </w:r>
            <w:r>
              <w:rPr>
                <w:rFonts w:hint="eastAsia" w:ascii="宋体" w:hAnsi="宋体" w:cs="宋体"/>
                <w:highlight w:val="none"/>
              </w:rPr>
              <w:t>、企业为拟派授权委托人及项目负责人缴纳的</w:t>
            </w:r>
            <w:r>
              <w:rPr>
                <w:rFonts w:ascii="宋体" w:hAnsi="宋体" w:cs="宋体"/>
                <w:highlight w:val="none"/>
              </w:rPr>
              <w:t xml:space="preserve"> </w:t>
            </w:r>
            <w:r>
              <w:rPr>
                <w:rFonts w:ascii="宋体" w:hAnsi="宋体" w:cs="宋体"/>
                <w:highlight w:val="none"/>
                <w:u w:val="single"/>
              </w:rPr>
              <w:t>20</w:t>
            </w:r>
            <w:r>
              <w:rPr>
                <w:rFonts w:hint="eastAsia" w:ascii="宋体" w:hAnsi="宋体" w:cs="宋体"/>
                <w:highlight w:val="none"/>
                <w:u w:val="single"/>
              </w:rPr>
              <w:t>2</w:t>
            </w:r>
            <w:r>
              <w:rPr>
                <w:rFonts w:hint="eastAsia" w:ascii="宋体" w:hAnsi="宋体" w:cs="宋体"/>
                <w:highlight w:val="none"/>
                <w:u w:val="single"/>
                <w:lang w:val="en-US" w:eastAsia="zh-CN"/>
              </w:rPr>
              <w:t>4</w:t>
            </w:r>
            <w:r>
              <w:rPr>
                <w:rFonts w:hint="eastAsia" w:ascii="宋体" w:hAnsi="宋体" w:cs="宋体"/>
                <w:highlight w:val="none"/>
              </w:rPr>
              <w:t>年</w:t>
            </w:r>
            <w:r>
              <w:rPr>
                <w:rFonts w:hint="eastAsia" w:ascii="宋体" w:hAnsi="宋体" w:cs="宋体"/>
                <w:highlight w:val="none"/>
                <w:u w:val="single"/>
                <w:lang w:val="en-US" w:eastAsia="zh-CN"/>
              </w:rPr>
              <w:t>11</w:t>
            </w:r>
            <w:r>
              <w:rPr>
                <w:rFonts w:hint="eastAsia" w:ascii="宋体" w:hAnsi="宋体" w:cs="宋体"/>
                <w:highlight w:val="none"/>
              </w:rPr>
              <w:t>月至</w:t>
            </w:r>
            <w:r>
              <w:rPr>
                <w:rFonts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1</w:t>
            </w:r>
            <w:r>
              <w:rPr>
                <w:rFonts w:hint="eastAsia" w:ascii="宋体" w:hAnsi="宋体" w:cs="宋体"/>
                <w:highlight w:val="none"/>
              </w:rPr>
              <w:t>月的养老保险缴费证明（养老保险缴费证明上人员较多时，请在相应人员名单上予以标注）。</w:t>
            </w:r>
          </w:p>
        </w:tc>
      </w:tr>
      <w:tr w14:paraId="2CDA063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29" w:hRule="atLeast"/>
        </w:trPr>
        <w:tc>
          <w:tcPr>
            <w:tcW w:w="794" w:type="dxa"/>
            <w:vMerge w:val="continue"/>
            <w:tcBorders>
              <w:left w:val="outset" w:color="auto" w:sz="6" w:space="0"/>
              <w:right w:val="outset" w:color="auto" w:sz="6" w:space="0"/>
            </w:tcBorders>
            <w:vAlign w:val="center"/>
          </w:tcPr>
          <w:p w14:paraId="71A02440">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7C433329">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3F67092">
            <w:pPr>
              <w:spacing w:line="300" w:lineRule="exact"/>
              <w:jc w:val="left"/>
              <w:rPr>
                <w:rFonts w:ascii="宋体" w:hAnsi="宋体" w:cs="宋体"/>
                <w:highlight w:val="none"/>
              </w:rPr>
            </w:pPr>
            <w:r>
              <w:rPr>
                <w:rFonts w:hint="eastAsia" w:ascii="宋体" w:hAnsi="宋体" w:cs="宋体"/>
                <w:highlight w:val="none"/>
              </w:rPr>
              <w:t>投标人业绩</w:t>
            </w:r>
          </w:p>
        </w:tc>
        <w:tc>
          <w:tcPr>
            <w:tcW w:w="4886" w:type="dxa"/>
            <w:tcBorders>
              <w:top w:val="outset" w:color="auto" w:sz="6" w:space="0"/>
              <w:left w:val="outset" w:color="auto" w:sz="6" w:space="0"/>
              <w:bottom w:val="outset" w:color="auto" w:sz="6" w:space="0"/>
              <w:right w:val="outset" w:color="auto" w:sz="6" w:space="0"/>
            </w:tcBorders>
            <w:vAlign w:val="center"/>
          </w:tcPr>
          <w:p w14:paraId="6C72C30A">
            <w:pPr>
              <w:spacing w:line="400" w:lineRule="exact"/>
              <w:jc w:val="left"/>
              <w:rPr>
                <w:rFonts w:ascii="宋体" w:hAnsi="宋体" w:cs="宋体"/>
                <w:b/>
                <w:highlight w:val="none"/>
              </w:rPr>
            </w:pPr>
            <w:r>
              <w:rPr>
                <w:rFonts w:hint="eastAsia" w:ascii="宋体" w:hAnsi="宋体" w:cs="宋体"/>
                <w:b/>
                <w:highlight w:val="none"/>
                <w:lang w:val="en-US" w:eastAsia="zh-CN"/>
              </w:rPr>
              <w:t>2019</w:t>
            </w:r>
            <w:r>
              <w:rPr>
                <w:rFonts w:hint="eastAsia" w:ascii="宋体" w:hAnsi="宋体" w:cs="宋体"/>
                <w:b/>
                <w:highlight w:val="none"/>
              </w:rPr>
              <w:t>年</w:t>
            </w:r>
            <w:r>
              <w:rPr>
                <w:rFonts w:hint="eastAsia" w:ascii="宋体" w:hAnsi="宋体" w:cs="宋体"/>
                <w:b/>
                <w:highlight w:val="none"/>
                <w:lang w:val="en-US" w:eastAsia="zh-CN"/>
              </w:rPr>
              <w:t>11</w:t>
            </w:r>
            <w:r>
              <w:rPr>
                <w:rFonts w:hint="eastAsia" w:ascii="宋体" w:hAnsi="宋体" w:cs="宋体"/>
                <w:b/>
                <w:highlight w:val="none"/>
              </w:rPr>
              <w:t>月1日以来（以签订合同时间为准），投标企业承担过DN1000及以上（含DN1000）且长度5</w:t>
            </w:r>
            <w:r>
              <w:rPr>
                <w:rFonts w:ascii="宋体" w:hAnsi="宋体" w:cs="宋体"/>
                <w:b/>
                <w:highlight w:val="none"/>
              </w:rPr>
              <w:t>0</w:t>
            </w:r>
            <w:r>
              <w:rPr>
                <w:rFonts w:hint="eastAsia" w:ascii="宋体" w:hAnsi="宋体" w:cs="宋体"/>
                <w:b/>
                <w:highlight w:val="none"/>
              </w:rPr>
              <w:t>米及以上（含50米）顶管业绩（提供中标通知书、合同、竣工验收证明及能体现管道直径的证明材料，以上材料缺一不可）</w:t>
            </w:r>
          </w:p>
        </w:tc>
      </w:tr>
      <w:tr w14:paraId="102E001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79" w:hRule="atLeast"/>
        </w:trPr>
        <w:tc>
          <w:tcPr>
            <w:tcW w:w="794" w:type="dxa"/>
            <w:vMerge w:val="continue"/>
            <w:tcBorders>
              <w:left w:val="outset" w:color="auto" w:sz="6" w:space="0"/>
              <w:right w:val="outset" w:color="auto" w:sz="6" w:space="0"/>
            </w:tcBorders>
            <w:vAlign w:val="center"/>
          </w:tcPr>
          <w:p w14:paraId="674A5543">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4F8AD0FB">
            <w:pPr>
              <w:spacing w:line="300" w:lineRule="exact"/>
              <w:jc w:val="center"/>
              <w:rPr>
                <w:rFonts w:ascii="宋体"/>
              </w:rPr>
            </w:pPr>
          </w:p>
        </w:tc>
        <w:tc>
          <w:tcPr>
            <w:tcW w:w="2485" w:type="dxa"/>
            <w:gridSpan w:val="2"/>
            <w:tcBorders>
              <w:top w:val="outset" w:color="auto" w:sz="6" w:space="0"/>
              <w:left w:val="outset" w:color="auto" w:sz="6" w:space="0"/>
              <w:bottom w:val="single" w:color="auto" w:sz="4" w:space="0"/>
              <w:right w:val="outset" w:color="auto" w:sz="6" w:space="0"/>
            </w:tcBorders>
            <w:vAlign w:val="center"/>
          </w:tcPr>
          <w:p w14:paraId="4F317BF1">
            <w:pPr>
              <w:spacing w:line="300" w:lineRule="exact"/>
              <w:jc w:val="left"/>
              <w:rPr>
                <w:rFonts w:ascii="宋体"/>
              </w:rPr>
            </w:pPr>
            <w:r>
              <w:rPr>
                <w:rFonts w:hint="eastAsia" w:ascii="宋体" w:hAnsi="宋体" w:cs="宋体"/>
              </w:rPr>
              <w:t>拟派项目负责人无在建工程承诺</w:t>
            </w:r>
          </w:p>
        </w:tc>
        <w:tc>
          <w:tcPr>
            <w:tcW w:w="4886" w:type="dxa"/>
            <w:tcBorders>
              <w:top w:val="outset" w:color="auto" w:sz="6" w:space="0"/>
              <w:left w:val="outset" w:color="auto" w:sz="6" w:space="0"/>
              <w:bottom w:val="single" w:color="auto" w:sz="4" w:space="0"/>
              <w:right w:val="outset" w:color="auto" w:sz="6" w:space="0"/>
            </w:tcBorders>
            <w:vAlign w:val="center"/>
          </w:tcPr>
          <w:p w14:paraId="7CA17992">
            <w:pPr>
              <w:spacing w:line="300" w:lineRule="exact"/>
              <w:jc w:val="left"/>
              <w:rPr>
                <w:rFonts w:ascii="宋体"/>
              </w:rPr>
            </w:pPr>
            <w:r>
              <w:rPr>
                <w:rFonts w:hint="eastAsia" w:ascii="宋体" w:hAnsi="宋体" w:cs="宋体"/>
              </w:rPr>
              <w:t>企业法定代表人签字或盖章并加盖单位公章的承诺书（格式按招标文件格式附件</w:t>
            </w:r>
            <w:r>
              <w:rPr>
                <w:rFonts w:ascii="宋体" w:hAnsi="宋体" w:cs="宋体"/>
              </w:rPr>
              <w:t>1</w:t>
            </w:r>
            <w:r>
              <w:rPr>
                <w:rFonts w:hint="eastAsia" w:ascii="宋体" w:hAnsi="宋体" w:cs="宋体"/>
              </w:rPr>
              <w:t>）。</w:t>
            </w:r>
          </w:p>
        </w:tc>
      </w:tr>
      <w:tr w14:paraId="59DFCC8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continue"/>
            <w:tcBorders>
              <w:left w:val="outset" w:color="auto" w:sz="6" w:space="0"/>
              <w:right w:val="outset" w:color="auto" w:sz="6" w:space="0"/>
            </w:tcBorders>
            <w:vAlign w:val="center"/>
          </w:tcPr>
          <w:p w14:paraId="318EACBE">
            <w:pPr>
              <w:spacing w:line="300" w:lineRule="exact"/>
              <w:jc w:val="center"/>
              <w:rPr>
                <w:rFonts w:ascii="宋体"/>
              </w:rPr>
            </w:pPr>
          </w:p>
        </w:tc>
        <w:tc>
          <w:tcPr>
            <w:tcW w:w="1908" w:type="dxa"/>
            <w:gridSpan w:val="2"/>
            <w:vMerge w:val="continue"/>
            <w:tcBorders>
              <w:left w:val="outset" w:color="auto" w:sz="6" w:space="0"/>
              <w:right w:val="outset" w:color="auto" w:sz="6" w:space="0"/>
            </w:tcBorders>
            <w:vAlign w:val="center"/>
          </w:tcPr>
          <w:p w14:paraId="1831A4DE">
            <w:pPr>
              <w:spacing w:line="300" w:lineRule="exact"/>
              <w:jc w:val="center"/>
              <w:rPr>
                <w:rFonts w:ascii="宋体"/>
              </w:rPr>
            </w:pPr>
          </w:p>
        </w:tc>
        <w:tc>
          <w:tcPr>
            <w:tcW w:w="2485" w:type="dxa"/>
            <w:gridSpan w:val="2"/>
            <w:tcBorders>
              <w:top w:val="single" w:color="auto" w:sz="4" w:space="0"/>
              <w:left w:val="outset" w:color="auto" w:sz="6" w:space="0"/>
              <w:bottom w:val="outset" w:color="auto" w:sz="6" w:space="0"/>
              <w:right w:val="outset" w:color="auto" w:sz="6" w:space="0"/>
            </w:tcBorders>
            <w:vAlign w:val="center"/>
          </w:tcPr>
          <w:p w14:paraId="342BC34E">
            <w:pPr>
              <w:spacing w:line="300" w:lineRule="exact"/>
              <w:jc w:val="left"/>
              <w:rPr>
                <w:rFonts w:ascii="宋体"/>
              </w:rPr>
            </w:pPr>
            <w:r>
              <w:rPr>
                <w:rFonts w:hint="eastAsia" w:ascii="宋体" w:hAnsi="宋体" w:cs="宋体"/>
              </w:rPr>
              <w:t>诚信承诺书</w:t>
            </w:r>
          </w:p>
        </w:tc>
        <w:tc>
          <w:tcPr>
            <w:tcW w:w="4886" w:type="dxa"/>
            <w:tcBorders>
              <w:top w:val="single" w:color="auto" w:sz="4" w:space="0"/>
              <w:left w:val="outset" w:color="auto" w:sz="6" w:space="0"/>
              <w:bottom w:val="outset" w:color="auto" w:sz="6" w:space="0"/>
              <w:right w:val="outset" w:color="auto" w:sz="6" w:space="0"/>
            </w:tcBorders>
            <w:vAlign w:val="center"/>
          </w:tcPr>
          <w:p w14:paraId="648FCA6C">
            <w:pPr>
              <w:spacing w:line="300" w:lineRule="exact"/>
              <w:jc w:val="left"/>
              <w:rPr>
                <w:rFonts w:ascii="宋体"/>
              </w:rPr>
            </w:pPr>
            <w:r>
              <w:rPr>
                <w:rFonts w:hint="eastAsia" w:ascii="宋体" w:hAnsi="宋体" w:cs="宋体"/>
              </w:rPr>
              <w:t>格式按招标文件格式附件</w:t>
            </w:r>
            <w:r>
              <w:rPr>
                <w:rFonts w:ascii="宋体" w:hAnsi="宋体" w:cs="宋体"/>
              </w:rPr>
              <w:t>2</w:t>
            </w:r>
          </w:p>
        </w:tc>
      </w:tr>
      <w:tr w14:paraId="7674C3A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19" w:hRule="atLeast"/>
        </w:trPr>
        <w:tc>
          <w:tcPr>
            <w:tcW w:w="794" w:type="dxa"/>
            <w:vMerge w:val="restart"/>
            <w:tcBorders>
              <w:top w:val="outset" w:color="auto" w:sz="6" w:space="0"/>
              <w:left w:val="outset" w:color="auto" w:sz="6" w:space="0"/>
              <w:bottom w:val="outset" w:color="auto" w:sz="6" w:space="0"/>
              <w:right w:val="outset" w:color="auto" w:sz="6" w:space="0"/>
            </w:tcBorders>
            <w:vAlign w:val="center"/>
          </w:tcPr>
          <w:p w14:paraId="2FBD6F4C">
            <w:pPr>
              <w:spacing w:line="300" w:lineRule="exact"/>
              <w:jc w:val="center"/>
              <w:rPr>
                <w:rFonts w:ascii="宋体"/>
              </w:rPr>
            </w:pPr>
            <w:r>
              <w:rPr>
                <w:rFonts w:ascii="宋体" w:hAnsi="宋体" w:cs="宋体"/>
              </w:rPr>
              <w:t>2.2.2</w:t>
            </w:r>
          </w:p>
        </w:tc>
        <w:tc>
          <w:tcPr>
            <w:tcW w:w="1908" w:type="dxa"/>
            <w:gridSpan w:val="2"/>
            <w:vMerge w:val="restart"/>
            <w:tcBorders>
              <w:top w:val="outset" w:color="auto" w:sz="6" w:space="0"/>
              <w:left w:val="outset" w:color="auto" w:sz="6" w:space="0"/>
              <w:bottom w:val="outset" w:color="auto" w:sz="6" w:space="0"/>
              <w:right w:val="outset" w:color="auto" w:sz="6" w:space="0"/>
            </w:tcBorders>
            <w:vAlign w:val="center"/>
          </w:tcPr>
          <w:p w14:paraId="685278AA">
            <w:pPr>
              <w:spacing w:line="300" w:lineRule="exact"/>
              <w:jc w:val="center"/>
              <w:rPr>
                <w:rFonts w:ascii="宋体"/>
              </w:rPr>
            </w:pPr>
            <w:r>
              <w:rPr>
                <w:rFonts w:hint="eastAsia" w:ascii="宋体" w:hAnsi="宋体" w:cs="宋体"/>
              </w:rPr>
              <w:t>形式评审标准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F0ABA74">
            <w:pPr>
              <w:spacing w:line="300" w:lineRule="exact"/>
              <w:jc w:val="left"/>
              <w:rPr>
                <w:rFonts w:ascii="宋体"/>
              </w:rPr>
            </w:pPr>
            <w:r>
              <w:rPr>
                <w:rFonts w:hint="eastAsia" w:ascii="宋体" w:hAnsi="宋体" w:cs="宋体"/>
              </w:rPr>
              <w:t>投标人名称</w:t>
            </w:r>
          </w:p>
        </w:tc>
        <w:tc>
          <w:tcPr>
            <w:tcW w:w="4886" w:type="dxa"/>
            <w:tcBorders>
              <w:top w:val="outset" w:color="auto" w:sz="6" w:space="0"/>
              <w:left w:val="outset" w:color="auto" w:sz="6" w:space="0"/>
              <w:bottom w:val="outset" w:color="auto" w:sz="6" w:space="0"/>
              <w:right w:val="outset" w:color="auto" w:sz="6" w:space="0"/>
            </w:tcBorders>
            <w:vAlign w:val="center"/>
          </w:tcPr>
          <w:p w14:paraId="1F692325">
            <w:pPr>
              <w:spacing w:line="300" w:lineRule="exact"/>
              <w:jc w:val="left"/>
              <w:rPr>
                <w:rFonts w:ascii="宋体"/>
              </w:rPr>
            </w:pPr>
            <w:r>
              <w:rPr>
                <w:rFonts w:hint="eastAsia" w:ascii="宋体" w:hAnsi="宋体" w:cs="宋体"/>
              </w:rPr>
              <w:t>与营业执照、资质证书、安全生产许可证一致；</w:t>
            </w:r>
          </w:p>
        </w:tc>
      </w:tr>
      <w:tr w14:paraId="75780BE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3" w:hRule="atLeast"/>
        </w:trPr>
        <w:tc>
          <w:tcPr>
            <w:tcW w:w="794" w:type="dxa"/>
            <w:vMerge w:val="continue"/>
            <w:tcBorders>
              <w:top w:val="outset" w:color="auto" w:sz="6" w:space="0"/>
              <w:left w:val="outset" w:color="auto" w:sz="6" w:space="0"/>
              <w:bottom w:val="outset" w:color="auto" w:sz="6" w:space="0"/>
              <w:right w:val="outset" w:color="auto" w:sz="6" w:space="0"/>
            </w:tcBorders>
            <w:vAlign w:val="center"/>
          </w:tcPr>
          <w:p w14:paraId="34600983">
            <w:pPr>
              <w:spacing w:line="300" w:lineRule="exact"/>
              <w:jc w:val="center"/>
              <w:rPr>
                <w:rFonts w:ascii="宋体"/>
              </w:rPr>
            </w:pPr>
          </w:p>
        </w:tc>
        <w:tc>
          <w:tcPr>
            <w:tcW w:w="1908" w:type="dxa"/>
            <w:gridSpan w:val="2"/>
            <w:vMerge w:val="continue"/>
            <w:tcBorders>
              <w:top w:val="outset" w:color="auto" w:sz="6" w:space="0"/>
              <w:left w:val="outset" w:color="auto" w:sz="6" w:space="0"/>
              <w:bottom w:val="outset" w:color="auto" w:sz="6" w:space="0"/>
              <w:right w:val="outset" w:color="auto" w:sz="6" w:space="0"/>
            </w:tcBorders>
            <w:vAlign w:val="center"/>
          </w:tcPr>
          <w:p w14:paraId="497D0507">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B9FB991">
            <w:pPr>
              <w:spacing w:line="300" w:lineRule="exact"/>
              <w:jc w:val="left"/>
              <w:rPr>
                <w:rFonts w:ascii="宋体"/>
              </w:rPr>
            </w:pPr>
            <w:r>
              <w:rPr>
                <w:rFonts w:hint="eastAsia" w:ascii="宋体" w:hAnsi="宋体" w:cs="宋体"/>
              </w:rPr>
              <w:t>投标函签字盖章</w:t>
            </w:r>
          </w:p>
        </w:tc>
        <w:tc>
          <w:tcPr>
            <w:tcW w:w="4886" w:type="dxa"/>
            <w:tcBorders>
              <w:top w:val="outset" w:color="auto" w:sz="6" w:space="0"/>
              <w:left w:val="outset" w:color="auto" w:sz="6" w:space="0"/>
              <w:bottom w:val="outset" w:color="auto" w:sz="6" w:space="0"/>
              <w:right w:val="outset" w:color="auto" w:sz="6" w:space="0"/>
            </w:tcBorders>
            <w:vAlign w:val="center"/>
          </w:tcPr>
          <w:p w14:paraId="45AE4E5D">
            <w:pPr>
              <w:spacing w:line="300" w:lineRule="exact"/>
              <w:jc w:val="left"/>
              <w:rPr>
                <w:rFonts w:ascii="宋体"/>
              </w:rPr>
            </w:pPr>
            <w:r>
              <w:rPr>
                <w:rFonts w:hint="eastAsia" w:ascii="宋体" w:hAnsi="宋体" w:cs="宋体"/>
              </w:rPr>
              <w:t>有法定代表人的电子签章并加盖法人电子印章</w:t>
            </w:r>
          </w:p>
        </w:tc>
      </w:tr>
      <w:tr w14:paraId="4E9D328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5" w:hRule="atLeast"/>
        </w:trPr>
        <w:tc>
          <w:tcPr>
            <w:tcW w:w="794" w:type="dxa"/>
            <w:vMerge w:val="continue"/>
            <w:tcBorders>
              <w:top w:val="outset" w:color="auto" w:sz="6" w:space="0"/>
              <w:left w:val="outset" w:color="auto" w:sz="6" w:space="0"/>
              <w:bottom w:val="outset" w:color="auto" w:sz="6" w:space="0"/>
              <w:right w:val="outset" w:color="auto" w:sz="6" w:space="0"/>
            </w:tcBorders>
            <w:vAlign w:val="center"/>
          </w:tcPr>
          <w:p w14:paraId="49A3A862">
            <w:pPr>
              <w:spacing w:line="300" w:lineRule="exact"/>
              <w:jc w:val="center"/>
              <w:rPr>
                <w:rFonts w:ascii="宋体"/>
              </w:rPr>
            </w:pPr>
          </w:p>
        </w:tc>
        <w:tc>
          <w:tcPr>
            <w:tcW w:w="1908" w:type="dxa"/>
            <w:gridSpan w:val="2"/>
            <w:vMerge w:val="continue"/>
            <w:tcBorders>
              <w:top w:val="outset" w:color="auto" w:sz="6" w:space="0"/>
              <w:left w:val="outset" w:color="auto" w:sz="6" w:space="0"/>
              <w:bottom w:val="outset" w:color="auto" w:sz="6" w:space="0"/>
              <w:right w:val="outset" w:color="auto" w:sz="6" w:space="0"/>
            </w:tcBorders>
            <w:vAlign w:val="center"/>
          </w:tcPr>
          <w:p w14:paraId="5853FE4B">
            <w:pPr>
              <w:spacing w:line="300" w:lineRule="exact"/>
              <w:jc w:val="center"/>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08B80734">
            <w:pPr>
              <w:spacing w:line="300" w:lineRule="exact"/>
              <w:jc w:val="left"/>
              <w:rPr>
                <w:rFonts w:ascii="宋体"/>
              </w:rPr>
            </w:pPr>
            <w:r>
              <w:rPr>
                <w:rFonts w:hint="eastAsia" w:ascii="宋体" w:hAnsi="宋体" w:cs="宋体"/>
              </w:rPr>
              <w:t>报价唯一</w:t>
            </w:r>
          </w:p>
        </w:tc>
        <w:tc>
          <w:tcPr>
            <w:tcW w:w="4886" w:type="dxa"/>
            <w:tcBorders>
              <w:top w:val="outset" w:color="auto" w:sz="6" w:space="0"/>
              <w:left w:val="outset" w:color="auto" w:sz="6" w:space="0"/>
              <w:bottom w:val="outset" w:color="auto" w:sz="6" w:space="0"/>
              <w:right w:val="outset" w:color="auto" w:sz="6" w:space="0"/>
            </w:tcBorders>
            <w:vAlign w:val="center"/>
          </w:tcPr>
          <w:p w14:paraId="3762D38F">
            <w:pPr>
              <w:spacing w:line="300" w:lineRule="exact"/>
              <w:jc w:val="left"/>
              <w:rPr>
                <w:rFonts w:ascii="宋体"/>
              </w:rPr>
            </w:pPr>
            <w:r>
              <w:rPr>
                <w:rFonts w:hint="eastAsia" w:ascii="宋体" w:hAnsi="宋体" w:cs="宋体"/>
              </w:rPr>
              <w:t>只能有一个有效报价</w:t>
            </w:r>
          </w:p>
        </w:tc>
      </w:tr>
      <w:tr w14:paraId="2F66FB9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restart"/>
            <w:tcBorders>
              <w:top w:val="outset" w:color="auto" w:sz="6" w:space="0"/>
              <w:left w:val="outset" w:color="auto" w:sz="6" w:space="0"/>
              <w:right w:val="outset" w:color="auto" w:sz="6" w:space="0"/>
            </w:tcBorders>
            <w:vAlign w:val="center"/>
          </w:tcPr>
          <w:p w14:paraId="093C7748">
            <w:pPr>
              <w:spacing w:line="300" w:lineRule="exact"/>
              <w:jc w:val="center"/>
              <w:rPr>
                <w:rFonts w:ascii="宋体"/>
              </w:rPr>
            </w:pPr>
            <w:r>
              <w:rPr>
                <w:rFonts w:ascii="宋体" w:hAnsi="宋体" w:cs="宋体"/>
              </w:rPr>
              <w:t>2.2.3</w:t>
            </w:r>
          </w:p>
        </w:tc>
        <w:tc>
          <w:tcPr>
            <w:tcW w:w="1908" w:type="dxa"/>
            <w:gridSpan w:val="2"/>
            <w:vMerge w:val="restart"/>
            <w:tcBorders>
              <w:top w:val="outset" w:color="auto" w:sz="6" w:space="0"/>
              <w:left w:val="outset" w:color="auto" w:sz="6" w:space="0"/>
              <w:right w:val="outset" w:color="auto" w:sz="6" w:space="0"/>
            </w:tcBorders>
            <w:vAlign w:val="center"/>
          </w:tcPr>
          <w:p w14:paraId="2FEA1AB0">
            <w:pPr>
              <w:spacing w:line="300" w:lineRule="exact"/>
              <w:jc w:val="center"/>
              <w:rPr>
                <w:rFonts w:ascii="宋体"/>
              </w:rPr>
            </w:pPr>
            <w:r>
              <w:rPr>
                <w:rFonts w:hint="eastAsia" w:ascii="宋体" w:hAnsi="宋体" w:cs="宋体"/>
              </w:rPr>
              <w:t>响应性评审标准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01385A03">
            <w:pPr>
              <w:spacing w:line="300" w:lineRule="exact"/>
              <w:jc w:val="left"/>
              <w:rPr>
                <w:rFonts w:ascii="宋体"/>
              </w:rPr>
            </w:pPr>
            <w:r>
              <w:rPr>
                <w:rFonts w:hint="eastAsia" w:ascii="宋体" w:hAnsi="宋体" w:cs="宋体"/>
              </w:rPr>
              <w:t>投标内容</w:t>
            </w:r>
          </w:p>
        </w:tc>
        <w:tc>
          <w:tcPr>
            <w:tcW w:w="4886" w:type="dxa"/>
            <w:tcBorders>
              <w:top w:val="outset" w:color="auto" w:sz="6" w:space="0"/>
              <w:left w:val="outset" w:color="auto" w:sz="6" w:space="0"/>
              <w:bottom w:val="outset" w:color="auto" w:sz="6" w:space="0"/>
              <w:right w:val="outset" w:color="auto" w:sz="6" w:space="0"/>
            </w:tcBorders>
            <w:vAlign w:val="center"/>
          </w:tcPr>
          <w:p w14:paraId="5CAEC923">
            <w:pPr>
              <w:spacing w:line="300" w:lineRule="exact"/>
              <w:jc w:val="left"/>
              <w:rPr>
                <w:rFonts w:ascii="宋体"/>
              </w:rPr>
            </w:pPr>
            <w:r>
              <w:rPr>
                <w:rFonts w:hint="eastAsia" w:ascii="宋体" w:hAnsi="宋体" w:cs="宋体"/>
              </w:rPr>
              <w:t>符合第二章“投标人须知”第</w:t>
            </w:r>
            <w:r>
              <w:rPr>
                <w:rFonts w:ascii="宋体" w:hAnsi="宋体" w:cs="宋体"/>
              </w:rPr>
              <w:t>1.3.1</w:t>
            </w:r>
            <w:r>
              <w:rPr>
                <w:rFonts w:hint="eastAsia" w:ascii="宋体" w:hAnsi="宋体" w:cs="宋体"/>
              </w:rPr>
              <w:t>项规定</w:t>
            </w:r>
          </w:p>
        </w:tc>
      </w:tr>
      <w:tr w14:paraId="7813356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08" w:hRule="atLeast"/>
        </w:trPr>
        <w:tc>
          <w:tcPr>
            <w:tcW w:w="794" w:type="dxa"/>
            <w:vMerge w:val="continue"/>
            <w:tcBorders>
              <w:left w:val="outset" w:color="auto" w:sz="6" w:space="0"/>
              <w:right w:val="outset" w:color="auto" w:sz="6" w:space="0"/>
            </w:tcBorders>
            <w:vAlign w:val="center"/>
          </w:tcPr>
          <w:p w14:paraId="6CA24159">
            <w:pPr>
              <w:spacing w:line="300" w:lineRule="exact"/>
              <w:jc w:val="left"/>
              <w:rPr>
                <w:rFonts w:ascii="宋体"/>
              </w:rPr>
            </w:pPr>
          </w:p>
        </w:tc>
        <w:tc>
          <w:tcPr>
            <w:tcW w:w="1908" w:type="dxa"/>
            <w:gridSpan w:val="2"/>
            <w:vMerge w:val="continue"/>
            <w:tcBorders>
              <w:left w:val="outset" w:color="auto" w:sz="6" w:space="0"/>
              <w:right w:val="outset" w:color="auto" w:sz="6" w:space="0"/>
            </w:tcBorders>
            <w:vAlign w:val="center"/>
          </w:tcPr>
          <w:p w14:paraId="16DED8AD">
            <w:pPr>
              <w:spacing w:line="300" w:lineRule="exact"/>
              <w:jc w:val="left"/>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6CE3B2A">
            <w:pPr>
              <w:spacing w:line="300" w:lineRule="exact"/>
              <w:jc w:val="left"/>
              <w:rPr>
                <w:rFonts w:ascii="宋体"/>
              </w:rPr>
            </w:pPr>
            <w:r>
              <w:rPr>
                <w:rFonts w:hint="eastAsia" w:ascii="宋体" w:hAnsi="宋体" w:cs="宋体"/>
              </w:rPr>
              <w:t>工期</w:t>
            </w:r>
          </w:p>
        </w:tc>
        <w:tc>
          <w:tcPr>
            <w:tcW w:w="4886" w:type="dxa"/>
            <w:tcBorders>
              <w:top w:val="outset" w:color="auto" w:sz="6" w:space="0"/>
              <w:left w:val="outset" w:color="auto" w:sz="6" w:space="0"/>
              <w:bottom w:val="outset" w:color="auto" w:sz="6" w:space="0"/>
              <w:right w:val="outset" w:color="auto" w:sz="6" w:space="0"/>
            </w:tcBorders>
            <w:vAlign w:val="center"/>
          </w:tcPr>
          <w:p w14:paraId="16750E3A">
            <w:pPr>
              <w:spacing w:line="300" w:lineRule="exact"/>
              <w:jc w:val="left"/>
              <w:rPr>
                <w:rFonts w:ascii="宋体"/>
              </w:rPr>
            </w:pPr>
            <w:r>
              <w:rPr>
                <w:rFonts w:hint="eastAsia" w:ascii="宋体" w:hAnsi="宋体" w:cs="宋体"/>
              </w:rPr>
              <w:t>投标函中载明的工期符合第二章“投标人须知”第</w:t>
            </w:r>
            <w:r>
              <w:rPr>
                <w:rFonts w:ascii="宋体" w:hAnsi="宋体" w:cs="宋体"/>
              </w:rPr>
              <w:t>1.3.2</w:t>
            </w:r>
            <w:r>
              <w:rPr>
                <w:rFonts w:hint="eastAsia" w:ascii="宋体" w:hAnsi="宋体" w:cs="宋体"/>
              </w:rPr>
              <w:t>项规定</w:t>
            </w:r>
          </w:p>
        </w:tc>
      </w:tr>
      <w:tr w14:paraId="77C5499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4" w:hRule="atLeast"/>
        </w:trPr>
        <w:tc>
          <w:tcPr>
            <w:tcW w:w="794" w:type="dxa"/>
            <w:vMerge w:val="continue"/>
            <w:tcBorders>
              <w:left w:val="outset" w:color="auto" w:sz="6" w:space="0"/>
              <w:right w:val="outset" w:color="auto" w:sz="6" w:space="0"/>
            </w:tcBorders>
            <w:vAlign w:val="center"/>
          </w:tcPr>
          <w:p w14:paraId="7B9209CA">
            <w:pPr>
              <w:spacing w:line="300" w:lineRule="exact"/>
              <w:jc w:val="left"/>
              <w:rPr>
                <w:rFonts w:ascii="宋体"/>
              </w:rPr>
            </w:pPr>
          </w:p>
        </w:tc>
        <w:tc>
          <w:tcPr>
            <w:tcW w:w="1908" w:type="dxa"/>
            <w:gridSpan w:val="2"/>
            <w:vMerge w:val="continue"/>
            <w:tcBorders>
              <w:left w:val="outset" w:color="auto" w:sz="6" w:space="0"/>
              <w:right w:val="outset" w:color="auto" w:sz="6" w:space="0"/>
            </w:tcBorders>
            <w:vAlign w:val="center"/>
          </w:tcPr>
          <w:p w14:paraId="1B6C4AC2">
            <w:pPr>
              <w:spacing w:line="300" w:lineRule="exact"/>
              <w:jc w:val="left"/>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3CE466D9">
            <w:pPr>
              <w:spacing w:line="300" w:lineRule="exact"/>
              <w:jc w:val="left"/>
              <w:rPr>
                <w:rFonts w:ascii="宋体"/>
              </w:rPr>
            </w:pPr>
            <w:r>
              <w:rPr>
                <w:rFonts w:hint="eastAsia" w:ascii="宋体" w:hAnsi="宋体" w:cs="宋体"/>
              </w:rPr>
              <w:t>工程质量</w:t>
            </w:r>
          </w:p>
        </w:tc>
        <w:tc>
          <w:tcPr>
            <w:tcW w:w="4886" w:type="dxa"/>
            <w:tcBorders>
              <w:top w:val="outset" w:color="auto" w:sz="6" w:space="0"/>
              <w:left w:val="outset" w:color="auto" w:sz="6" w:space="0"/>
              <w:bottom w:val="outset" w:color="auto" w:sz="6" w:space="0"/>
              <w:right w:val="outset" w:color="auto" w:sz="6" w:space="0"/>
            </w:tcBorders>
            <w:vAlign w:val="center"/>
          </w:tcPr>
          <w:p w14:paraId="54B4EC2C">
            <w:pPr>
              <w:spacing w:line="300" w:lineRule="exact"/>
              <w:jc w:val="left"/>
              <w:rPr>
                <w:rFonts w:ascii="宋体"/>
              </w:rPr>
            </w:pPr>
            <w:r>
              <w:rPr>
                <w:rFonts w:hint="eastAsia" w:ascii="宋体" w:hAnsi="宋体" w:cs="宋体"/>
              </w:rPr>
              <w:t>投标函中载明的质量符合第二章“投标人须知”第</w:t>
            </w:r>
            <w:r>
              <w:rPr>
                <w:rFonts w:ascii="宋体" w:hAnsi="宋体" w:cs="宋体"/>
              </w:rPr>
              <w:t>1.3.3</w:t>
            </w:r>
            <w:r>
              <w:rPr>
                <w:rFonts w:hint="eastAsia" w:ascii="宋体" w:hAnsi="宋体" w:cs="宋体"/>
              </w:rPr>
              <w:t>项规定</w:t>
            </w:r>
          </w:p>
        </w:tc>
      </w:tr>
      <w:tr w14:paraId="2518F62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4" w:hRule="atLeast"/>
        </w:trPr>
        <w:tc>
          <w:tcPr>
            <w:tcW w:w="794" w:type="dxa"/>
            <w:vMerge w:val="continue"/>
            <w:tcBorders>
              <w:left w:val="outset" w:color="auto" w:sz="6" w:space="0"/>
              <w:right w:val="outset" w:color="auto" w:sz="6" w:space="0"/>
            </w:tcBorders>
            <w:vAlign w:val="center"/>
          </w:tcPr>
          <w:p w14:paraId="00FBB012">
            <w:pPr>
              <w:spacing w:line="300" w:lineRule="exact"/>
              <w:jc w:val="left"/>
              <w:rPr>
                <w:rFonts w:ascii="宋体"/>
              </w:rPr>
            </w:pPr>
          </w:p>
        </w:tc>
        <w:tc>
          <w:tcPr>
            <w:tcW w:w="1908" w:type="dxa"/>
            <w:gridSpan w:val="2"/>
            <w:vMerge w:val="continue"/>
            <w:tcBorders>
              <w:left w:val="outset" w:color="auto" w:sz="6" w:space="0"/>
              <w:right w:val="outset" w:color="auto" w:sz="6" w:space="0"/>
            </w:tcBorders>
            <w:vAlign w:val="center"/>
          </w:tcPr>
          <w:p w14:paraId="11E742C4">
            <w:pPr>
              <w:spacing w:line="300" w:lineRule="exact"/>
              <w:jc w:val="left"/>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A2F3362">
            <w:pPr>
              <w:spacing w:line="300" w:lineRule="exact"/>
              <w:jc w:val="left"/>
              <w:rPr>
                <w:rFonts w:ascii="宋体"/>
              </w:rPr>
            </w:pPr>
            <w:r>
              <w:rPr>
                <w:rFonts w:hint="eastAsia" w:ascii="宋体" w:hAnsi="宋体" w:cs="宋体"/>
              </w:rPr>
              <w:t>投标有效期</w:t>
            </w:r>
          </w:p>
        </w:tc>
        <w:tc>
          <w:tcPr>
            <w:tcW w:w="4886" w:type="dxa"/>
            <w:tcBorders>
              <w:top w:val="outset" w:color="auto" w:sz="6" w:space="0"/>
              <w:left w:val="outset" w:color="auto" w:sz="6" w:space="0"/>
              <w:bottom w:val="outset" w:color="auto" w:sz="6" w:space="0"/>
              <w:right w:val="outset" w:color="auto" w:sz="6" w:space="0"/>
            </w:tcBorders>
            <w:vAlign w:val="center"/>
          </w:tcPr>
          <w:p w14:paraId="3A17A6BA">
            <w:pPr>
              <w:spacing w:line="300" w:lineRule="exact"/>
              <w:jc w:val="left"/>
              <w:rPr>
                <w:rFonts w:ascii="宋体"/>
              </w:rPr>
            </w:pPr>
            <w:r>
              <w:rPr>
                <w:rFonts w:hint="eastAsia" w:ascii="宋体" w:hAnsi="宋体" w:cs="宋体"/>
              </w:rPr>
              <w:t>投标函附录中承诺的投标有效期符合第二章“投标人须知”第</w:t>
            </w:r>
            <w:r>
              <w:rPr>
                <w:rFonts w:ascii="宋体" w:hAnsi="宋体" w:cs="宋体"/>
              </w:rPr>
              <w:t>3.3.1</w:t>
            </w:r>
            <w:r>
              <w:rPr>
                <w:rFonts w:hint="eastAsia" w:ascii="宋体" w:hAnsi="宋体" w:cs="宋体"/>
              </w:rPr>
              <w:t>项规定</w:t>
            </w:r>
          </w:p>
        </w:tc>
      </w:tr>
      <w:tr w14:paraId="60C42C9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7" w:hRule="atLeast"/>
        </w:trPr>
        <w:tc>
          <w:tcPr>
            <w:tcW w:w="794" w:type="dxa"/>
            <w:vMerge w:val="continue"/>
            <w:tcBorders>
              <w:left w:val="outset" w:color="auto" w:sz="6" w:space="0"/>
              <w:right w:val="outset" w:color="auto" w:sz="6" w:space="0"/>
            </w:tcBorders>
            <w:vAlign w:val="center"/>
          </w:tcPr>
          <w:p w14:paraId="23149090">
            <w:pPr>
              <w:spacing w:line="300" w:lineRule="exact"/>
              <w:jc w:val="left"/>
              <w:rPr>
                <w:rFonts w:ascii="宋体"/>
              </w:rPr>
            </w:pPr>
          </w:p>
        </w:tc>
        <w:tc>
          <w:tcPr>
            <w:tcW w:w="1908" w:type="dxa"/>
            <w:gridSpan w:val="2"/>
            <w:vMerge w:val="continue"/>
            <w:tcBorders>
              <w:left w:val="outset" w:color="auto" w:sz="6" w:space="0"/>
              <w:right w:val="outset" w:color="auto" w:sz="6" w:space="0"/>
            </w:tcBorders>
            <w:vAlign w:val="center"/>
          </w:tcPr>
          <w:p w14:paraId="152C617F">
            <w:pPr>
              <w:spacing w:line="300" w:lineRule="exact"/>
              <w:jc w:val="left"/>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6D1508F">
            <w:pPr>
              <w:spacing w:line="300" w:lineRule="exact"/>
              <w:jc w:val="left"/>
              <w:rPr>
                <w:rFonts w:ascii="宋体"/>
              </w:rPr>
            </w:pPr>
            <w:r>
              <w:rPr>
                <w:rFonts w:hint="eastAsia" w:ascii="宋体" w:hAnsi="宋体" w:cs="宋体"/>
              </w:rPr>
              <w:t>投标保证金</w:t>
            </w:r>
          </w:p>
        </w:tc>
        <w:tc>
          <w:tcPr>
            <w:tcW w:w="4886" w:type="dxa"/>
            <w:tcBorders>
              <w:top w:val="outset" w:color="auto" w:sz="6" w:space="0"/>
              <w:left w:val="outset" w:color="auto" w:sz="6" w:space="0"/>
              <w:bottom w:val="outset" w:color="auto" w:sz="6" w:space="0"/>
              <w:right w:val="outset" w:color="auto" w:sz="6" w:space="0"/>
            </w:tcBorders>
            <w:vAlign w:val="center"/>
          </w:tcPr>
          <w:p w14:paraId="084DCBB4">
            <w:pPr>
              <w:spacing w:line="300" w:lineRule="exact"/>
              <w:jc w:val="left"/>
              <w:rPr>
                <w:rFonts w:ascii="宋体"/>
              </w:rPr>
            </w:pPr>
            <w:r>
              <w:rPr>
                <w:rFonts w:hint="eastAsia" w:ascii="宋体" w:hAnsi="宋体" w:cs="宋体"/>
              </w:rPr>
              <w:t>符合第二章“投标人须知”第</w:t>
            </w:r>
            <w:r>
              <w:rPr>
                <w:rFonts w:ascii="宋体" w:hAnsi="宋体" w:cs="宋体"/>
              </w:rPr>
              <w:t>3.4.1</w:t>
            </w:r>
            <w:r>
              <w:rPr>
                <w:rFonts w:hint="eastAsia" w:ascii="宋体" w:hAnsi="宋体" w:cs="宋体"/>
              </w:rPr>
              <w:t>项规定；</w:t>
            </w:r>
          </w:p>
        </w:tc>
      </w:tr>
      <w:tr w14:paraId="48766F9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continue"/>
            <w:tcBorders>
              <w:left w:val="outset" w:color="auto" w:sz="6" w:space="0"/>
              <w:right w:val="outset" w:color="auto" w:sz="6" w:space="0"/>
            </w:tcBorders>
            <w:vAlign w:val="center"/>
          </w:tcPr>
          <w:p w14:paraId="567E5E39">
            <w:pPr>
              <w:spacing w:line="300" w:lineRule="exact"/>
              <w:jc w:val="left"/>
              <w:rPr>
                <w:rFonts w:ascii="宋体"/>
              </w:rPr>
            </w:pPr>
          </w:p>
        </w:tc>
        <w:tc>
          <w:tcPr>
            <w:tcW w:w="1908" w:type="dxa"/>
            <w:gridSpan w:val="2"/>
            <w:vMerge w:val="continue"/>
            <w:tcBorders>
              <w:left w:val="outset" w:color="auto" w:sz="6" w:space="0"/>
              <w:right w:val="outset" w:color="auto" w:sz="6" w:space="0"/>
            </w:tcBorders>
            <w:vAlign w:val="center"/>
          </w:tcPr>
          <w:p w14:paraId="1320A5A4">
            <w:pPr>
              <w:spacing w:line="300" w:lineRule="exact"/>
              <w:jc w:val="left"/>
              <w:rPr>
                <w:rFonts w:ascii="宋体"/>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C6A8C2C">
            <w:pPr>
              <w:spacing w:line="300" w:lineRule="exact"/>
              <w:jc w:val="left"/>
              <w:rPr>
                <w:rFonts w:ascii="宋体"/>
              </w:rPr>
            </w:pPr>
            <w:r>
              <w:rPr>
                <w:rFonts w:hint="eastAsia" w:ascii="宋体" w:hAnsi="宋体" w:cs="宋体"/>
              </w:rPr>
              <w:t>已标价工程量清单</w:t>
            </w:r>
          </w:p>
        </w:tc>
        <w:tc>
          <w:tcPr>
            <w:tcW w:w="4886" w:type="dxa"/>
            <w:tcBorders>
              <w:top w:val="outset" w:color="auto" w:sz="6" w:space="0"/>
              <w:left w:val="outset" w:color="auto" w:sz="6" w:space="0"/>
              <w:bottom w:val="outset" w:color="auto" w:sz="6" w:space="0"/>
              <w:right w:val="outset" w:color="auto" w:sz="6" w:space="0"/>
            </w:tcBorders>
            <w:vAlign w:val="center"/>
          </w:tcPr>
          <w:p w14:paraId="18BB2638">
            <w:pPr>
              <w:spacing w:line="300" w:lineRule="exact"/>
              <w:jc w:val="left"/>
              <w:rPr>
                <w:rFonts w:ascii="宋体"/>
              </w:rPr>
            </w:pPr>
            <w:r>
              <w:rPr>
                <w:rFonts w:hint="eastAsia" w:ascii="宋体" w:hAnsi="宋体" w:cs="宋体"/>
              </w:rPr>
              <w:t>符合第二章“投标人须知”第</w:t>
            </w:r>
            <w:r>
              <w:rPr>
                <w:rFonts w:ascii="宋体" w:hAnsi="宋体" w:cs="宋体"/>
              </w:rPr>
              <w:t>3.2.2</w:t>
            </w:r>
            <w:r>
              <w:rPr>
                <w:rFonts w:hint="eastAsia" w:ascii="宋体" w:hAnsi="宋体" w:cs="宋体"/>
              </w:rPr>
              <w:t>项规定①投标报价不低于工程成本或者不高于招标文件设定的招标控制价或者招标人设置的投标限价的；②未改变“招标工程量清单”给出的项目编码、项目名称、项目特征、计量单位和工程量的；③未改变招标文件规定的暂估价、暂列金额及甲供材料价格；④未改变不可竞争费用项目或费率或计算基础的</w:t>
            </w:r>
          </w:p>
        </w:tc>
      </w:tr>
      <w:tr w14:paraId="7D65E78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2715CD2B">
            <w:pPr>
              <w:spacing w:line="300" w:lineRule="exact"/>
              <w:jc w:val="center"/>
              <w:rPr>
                <w:rFonts w:ascii="宋体"/>
              </w:rPr>
            </w:pPr>
            <w:r>
              <w:rPr>
                <w:rFonts w:ascii="宋体" w:hAnsi="宋体" w:cs="宋体"/>
              </w:rPr>
              <w:t>2.3</w:t>
            </w:r>
            <w:r>
              <w:rPr>
                <w:rFonts w:hint="eastAsia" w:ascii="宋体" w:hAnsi="宋体" w:cs="宋体"/>
              </w:rPr>
              <w:t>详细评审</w:t>
            </w:r>
          </w:p>
        </w:tc>
      </w:tr>
      <w:tr w14:paraId="5BE0867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4" w:hRule="atLeast"/>
        </w:trPr>
        <w:tc>
          <w:tcPr>
            <w:tcW w:w="2992" w:type="dxa"/>
            <w:gridSpan w:val="4"/>
            <w:tcBorders>
              <w:top w:val="outset" w:color="auto" w:sz="6" w:space="0"/>
              <w:left w:val="outset" w:color="auto" w:sz="6" w:space="0"/>
              <w:bottom w:val="outset" w:color="auto" w:sz="6" w:space="0"/>
              <w:right w:val="outset" w:color="auto" w:sz="6" w:space="0"/>
            </w:tcBorders>
            <w:vAlign w:val="center"/>
          </w:tcPr>
          <w:p w14:paraId="5C14C39E">
            <w:pPr>
              <w:spacing w:line="300" w:lineRule="exact"/>
              <w:jc w:val="center"/>
              <w:rPr>
                <w:rFonts w:ascii="宋体"/>
              </w:rPr>
            </w:pPr>
            <w:r>
              <w:rPr>
                <w:rFonts w:hint="eastAsia" w:ascii="宋体" w:hAnsi="宋体" w:cs="宋体"/>
              </w:rPr>
              <w:t>条款号</w:t>
            </w:r>
          </w:p>
        </w:tc>
        <w:tc>
          <w:tcPr>
            <w:tcW w:w="7081" w:type="dxa"/>
            <w:gridSpan w:val="2"/>
            <w:tcBorders>
              <w:top w:val="outset" w:color="auto" w:sz="6" w:space="0"/>
              <w:left w:val="outset" w:color="auto" w:sz="6" w:space="0"/>
              <w:bottom w:val="outset" w:color="auto" w:sz="6" w:space="0"/>
              <w:right w:val="outset" w:color="auto" w:sz="6" w:space="0"/>
            </w:tcBorders>
            <w:vAlign w:val="center"/>
          </w:tcPr>
          <w:p w14:paraId="14767F2C">
            <w:pPr>
              <w:spacing w:line="300" w:lineRule="exact"/>
              <w:jc w:val="center"/>
              <w:rPr>
                <w:rFonts w:ascii="宋体"/>
              </w:rPr>
            </w:pPr>
            <w:r>
              <w:rPr>
                <w:rFonts w:hint="eastAsia" w:ascii="宋体" w:hAnsi="宋体" w:cs="宋体"/>
              </w:rPr>
              <w:t>条款内容</w:t>
            </w:r>
          </w:p>
        </w:tc>
      </w:tr>
      <w:tr w14:paraId="38C42FD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21"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4244D3F6">
            <w:pPr>
              <w:spacing w:line="300" w:lineRule="exact"/>
              <w:jc w:val="left"/>
              <w:rPr>
                <w:rFonts w:ascii="宋体"/>
              </w:rPr>
            </w:pPr>
            <w:r>
              <w:rPr>
                <w:rFonts w:ascii="宋体" w:hAnsi="宋体" w:cs="宋体"/>
              </w:rPr>
              <w:t>2.3.1</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752F8CD3">
            <w:pPr>
              <w:spacing w:line="300" w:lineRule="exact"/>
              <w:jc w:val="center"/>
              <w:rPr>
                <w:rFonts w:ascii="宋体"/>
              </w:rPr>
            </w:pPr>
            <w:r>
              <w:rPr>
                <w:rFonts w:hint="eastAsia" w:ascii="宋体" w:hAnsi="宋体" w:cs="宋体"/>
              </w:rPr>
              <w:t>分值构成</w:t>
            </w:r>
          </w:p>
          <w:p w14:paraId="33844187">
            <w:pPr>
              <w:spacing w:line="300" w:lineRule="exact"/>
              <w:jc w:val="center"/>
              <w:rPr>
                <w:rFonts w:ascii="宋体"/>
              </w:rPr>
            </w:pPr>
            <w:r>
              <w:rPr>
                <w:rFonts w:hint="eastAsia" w:ascii="宋体" w:hAnsi="宋体" w:cs="宋体"/>
              </w:rPr>
              <w:t>（总分</w:t>
            </w:r>
            <w:r>
              <w:rPr>
                <w:rFonts w:ascii="宋体" w:hAnsi="宋体" w:cs="宋体"/>
              </w:rPr>
              <w:t>100</w:t>
            </w:r>
            <w:r>
              <w:rPr>
                <w:rFonts w:hint="eastAsia" w:ascii="宋体" w:hAnsi="宋体" w:cs="宋体"/>
              </w:rPr>
              <w:t>分）</w:t>
            </w:r>
          </w:p>
        </w:tc>
        <w:tc>
          <w:tcPr>
            <w:tcW w:w="7081" w:type="dxa"/>
            <w:gridSpan w:val="2"/>
            <w:tcBorders>
              <w:top w:val="outset" w:color="auto" w:sz="6" w:space="0"/>
              <w:left w:val="outset" w:color="auto" w:sz="6" w:space="0"/>
              <w:right w:val="outset" w:color="auto" w:sz="6" w:space="0"/>
            </w:tcBorders>
            <w:vAlign w:val="center"/>
          </w:tcPr>
          <w:p w14:paraId="466AA8B3">
            <w:pPr>
              <w:spacing w:line="400" w:lineRule="exact"/>
              <w:rPr>
                <w:rFonts w:ascii="宋体"/>
              </w:rPr>
            </w:pPr>
            <w:r>
              <w:rPr>
                <w:rFonts w:hint="eastAsia" w:ascii="宋体" w:hAnsi="宋体" w:cs="宋体"/>
              </w:rPr>
              <w:t>以投标报价为评审因素</w:t>
            </w:r>
          </w:p>
          <w:p w14:paraId="04E295D6">
            <w:pPr>
              <w:spacing w:line="400" w:lineRule="exact"/>
              <w:jc w:val="left"/>
              <w:rPr>
                <w:rFonts w:ascii="宋体"/>
              </w:rPr>
            </w:pPr>
            <w:r>
              <w:t>投标报价：</w:t>
            </w:r>
            <w:r>
              <w:rPr>
                <w:rFonts w:hint="eastAsia"/>
                <w:u w:val="single"/>
              </w:rPr>
              <w:t xml:space="preserve"> 100</w:t>
            </w:r>
            <w:r>
              <w:t>分</w:t>
            </w:r>
          </w:p>
        </w:tc>
      </w:tr>
      <w:tr w14:paraId="0AE2DF8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342"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55617E51">
            <w:pPr>
              <w:spacing w:line="300" w:lineRule="exact"/>
              <w:jc w:val="left"/>
              <w:rPr>
                <w:rFonts w:ascii="宋体"/>
              </w:rPr>
            </w:pPr>
            <w:r>
              <w:rPr>
                <w:rFonts w:ascii="宋体" w:hAnsi="宋体" w:cs="宋体"/>
              </w:rPr>
              <w:t>2.3.2</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6E6F7F13">
            <w:pPr>
              <w:spacing w:line="300" w:lineRule="exact"/>
              <w:jc w:val="center"/>
              <w:rPr>
                <w:rFonts w:ascii="宋体"/>
              </w:rPr>
            </w:pPr>
            <w:r>
              <w:rPr>
                <w:rFonts w:hint="eastAsia" w:ascii="宋体" w:hAnsi="宋体" w:cs="宋体"/>
              </w:rPr>
              <w:t>评标基准价计算方法</w:t>
            </w:r>
          </w:p>
        </w:tc>
        <w:tc>
          <w:tcPr>
            <w:tcW w:w="7081" w:type="dxa"/>
            <w:gridSpan w:val="2"/>
            <w:tcBorders>
              <w:top w:val="outset" w:color="auto" w:sz="6" w:space="0"/>
              <w:left w:val="outset" w:color="auto" w:sz="6" w:space="0"/>
              <w:right w:val="outset" w:color="auto" w:sz="6" w:space="0"/>
            </w:tcBorders>
            <w:vAlign w:val="center"/>
          </w:tcPr>
          <w:p w14:paraId="3BA568D4">
            <w:pPr>
              <w:autoSpaceDE w:val="0"/>
              <w:autoSpaceDN w:val="0"/>
              <w:adjustRightInd w:val="0"/>
              <w:spacing w:line="400" w:lineRule="exact"/>
              <w:jc w:val="left"/>
              <w:rPr>
                <w:rFonts w:ascii="Calibri" w:hAnsi="Calibri" w:cs="Calibri"/>
                <w:kern w:val="0"/>
              </w:rPr>
            </w:pPr>
            <w:r>
              <w:rPr>
                <w:rFonts w:hint="eastAsia" w:ascii="Calibri" w:hAnsi="Calibri" w:cs="宋体"/>
                <w:kern w:val="0"/>
              </w:rPr>
              <w:t>评标基准价</w:t>
            </w:r>
          </w:p>
          <w:p w14:paraId="7325657D">
            <w:pPr>
              <w:autoSpaceDE w:val="0"/>
              <w:autoSpaceDN w:val="0"/>
              <w:adjustRightInd w:val="0"/>
              <w:spacing w:line="400" w:lineRule="exact"/>
              <w:jc w:val="left"/>
              <w:rPr>
                <w:rFonts w:ascii="Calibri" w:hAnsi="Calibri" w:cs="Calibri"/>
                <w:kern w:val="0"/>
              </w:rPr>
            </w:pPr>
            <w:r>
              <w:rPr>
                <w:rFonts w:ascii="Calibri" w:hAnsi="Calibri" w:cs="Calibri"/>
                <w:kern w:val="0"/>
              </w:rPr>
              <w:fldChar w:fldCharType="begin"/>
            </w:r>
            <w:r>
              <w:rPr>
                <w:rFonts w:ascii="Calibri" w:hAnsi="Calibri" w:cs="Calibri"/>
                <w:kern w:val="0"/>
              </w:rPr>
              <w:instrText xml:space="preserve"> = 1 \* GB3 </w:instrText>
            </w:r>
            <w:r>
              <w:rPr>
                <w:rFonts w:ascii="Calibri" w:hAnsi="Calibri" w:cs="Calibri"/>
                <w:kern w:val="0"/>
              </w:rPr>
              <w:fldChar w:fldCharType="separate"/>
            </w:r>
            <w:r>
              <w:rPr>
                <w:rFonts w:hint="eastAsia" w:ascii="Calibri" w:hAnsi="Calibri" w:cs="宋体"/>
                <w:kern w:val="0"/>
              </w:rPr>
              <w:t>①</w:t>
            </w:r>
            <w:r>
              <w:rPr>
                <w:rFonts w:ascii="Calibri" w:hAnsi="Calibri" w:cs="Calibri"/>
                <w:kern w:val="0"/>
              </w:rPr>
              <w:fldChar w:fldCharType="end"/>
            </w:r>
            <w:r>
              <w:rPr>
                <w:rFonts w:hint="eastAsia" w:ascii="Calibri" w:hAnsi="Calibri" w:cs="宋体"/>
                <w:kern w:val="0"/>
              </w:rPr>
              <w:t>有效报价</w:t>
            </w:r>
          </w:p>
          <w:p w14:paraId="7BEEA7BC">
            <w:pPr>
              <w:autoSpaceDE w:val="0"/>
              <w:autoSpaceDN w:val="0"/>
              <w:adjustRightInd w:val="0"/>
              <w:spacing w:line="400" w:lineRule="exact"/>
              <w:jc w:val="left"/>
              <w:rPr>
                <w:rFonts w:ascii="Calibri" w:hAnsi="Calibri" w:cs="宋体"/>
                <w:kern w:val="0"/>
              </w:rPr>
            </w:pPr>
            <w:r>
              <w:rPr>
                <w:rFonts w:hint="eastAsia" w:ascii="Calibri" w:hAnsi="Calibri" w:cs="宋体"/>
                <w:kern w:val="0"/>
              </w:rPr>
              <w:t>有效报价是指投标人的报价低于招标人设定的招标控制价。</w:t>
            </w:r>
          </w:p>
          <w:p w14:paraId="3B7311C1">
            <w:pPr>
              <w:autoSpaceDE w:val="0"/>
              <w:autoSpaceDN w:val="0"/>
              <w:adjustRightInd w:val="0"/>
              <w:spacing w:line="400" w:lineRule="exact"/>
              <w:jc w:val="left"/>
              <w:rPr>
                <w:rFonts w:ascii="Calibri" w:hAnsi="Calibri" w:cs="Calibri"/>
                <w:kern w:val="0"/>
              </w:rPr>
            </w:pPr>
            <w:r>
              <w:rPr>
                <w:rFonts w:hint="eastAsia" w:ascii="Calibri" w:hAnsi="Calibri" w:cs="宋体"/>
                <w:kern w:val="0"/>
              </w:rPr>
              <w:t>②评标基准价的确定：以有效投标文件的最低价作为评标基准价。</w:t>
            </w:r>
          </w:p>
        </w:tc>
      </w:tr>
      <w:tr w14:paraId="320D86E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64"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56A23A40">
            <w:pPr>
              <w:spacing w:line="300" w:lineRule="exact"/>
              <w:rPr>
                <w:rFonts w:ascii="宋体"/>
              </w:rPr>
            </w:pPr>
            <w:r>
              <w:rPr>
                <w:rFonts w:ascii="宋体" w:hAnsi="宋体" w:cs="宋体"/>
              </w:rPr>
              <w:t>2.3.3</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2C28CC8D">
            <w:pPr>
              <w:spacing w:line="300" w:lineRule="exact"/>
              <w:rPr>
                <w:rFonts w:ascii="宋体"/>
              </w:rPr>
            </w:pPr>
            <w:r>
              <w:rPr>
                <w:rFonts w:hint="eastAsia" w:ascii="宋体" w:hAnsi="宋体" w:cs="宋体"/>
              </w:rPr>
              <w:t>投标报价得分计算</w:t>
            </w:r>
          </w:p>
        </w:tc>
        <w:tc>
          <w:tcPr>
            <w:tcW w:w="7081" w:type="dxa"/>
            <w:gridSpan w:val="2"/>
            <w:tcBorders>
              <w:top w:val="outset" w:color="auto" w:sz="6" w:space="0"/>
              <w:left w:val="outset" w:color="auto" w:sz="6" w:space="0"/>
              <w:bottom w:val="outset" w:color="auto" w:sz="6" w:space="0"/>
              <w:right w:val="outset" w:color="auto" w:sz="6" w:space="0"/>
            </w:tcBorders>
            <w:vAlign w:val="center"/>
          </w:tcPr>
          <w:p w14:paraId="4E60706C">
            <w:pPr>
              <w:spacing w:line="300" w:lineRule="exact"/>
              <w:rPr>
                <w:rFonts w:ascii="宋体"/>
              </w:rPr>
            </w:pPr>
            <w:r>
              <w:rPr>
                <w:rFonts w:hint="eastAsia" w:ascii="宋体" w:hAnsi="宋体" w:cs="宋体"/>
              </w:rPr>
              <w:t>投标报价等于评标基准价的得满分100分，投标报价相对评标基准价每高</w:t>
            </w:r>
            <w:r>
              <w:rPr>
                <w:rFonts w:ascii="宋体" w:hAnsi="宋体" w:cs="宋体"/>
              </w:rPr>
              <w:t>1%</w:t>
            </w:r>
            <w:r>
              <w:rPr>
                <w:rFonts w:hint="eastAsia" w:ascii="宋体" w:hAnsi="宋体" w:cs="宋体"/>
              </w:rPr>
              <w:t>扣</w:t>
            </w:r>
            <w:r>
              <w:rPr>
                <w:rFonts w:hint="eastAsia" w:ascii="宋体" w:hAnsi="宋体" w:cs="宋体"/>
                <w:u w:val="single"/>
              </w:rPr>
              <w:t>0.9</w:t>
            </w:r>
            <w:r>
              <w:rPr>
                <w:rFonts w:hint="eastAsia" w:ascii="宋体" w:hAnsi="宋体" w:cs="宋体"/>
              </w:rPr>
              <w:t>分；偏离不足</w:t>
            </w:r>
            <w:r>
              <w:rPr>
                <w:rFonts w:ascii="宋体" w:hAnsi="宋体" w:cs="宋体"/>
              </w:rPr>
              <w:t>1%</w:t>
            </w:r>
            <w:r>
              <w:rPr>
                <w:rFonts w:hint="eastAsia" w:ascii="宋体" w:hAnsi="宋体" w:cs="宋体"/>
              </w:rPr>
              <w:t>的，按照插入法计算得分。</w:t>
            </w:r>
          </w:p>
        </w:tc>
      </w:tr>
      <w:bookmarkEnd w:id="133"/>
    </w:tbl>
    <w:p w14:paraId="3037E608">
      <w:pPr>
        <w:spacing w:line="400" w:lineRule="exact"/>
        <w:ind w:firstLine="630" w:firstLineChars="300"/>
        <w:rPr>
          <w:rFonts w:ascii="宋体"/>
          <w:highlight w:val="white"/>
        </w:rPr>
      </w:pPr>
      <w:r>
        <w:rPr>
          <w:rFonts w:hint="eastAsia" w:ascii="宋体" w:hAnsi="宋体" w:cs="宋体"/>
        </w:rPr>
        <w:t>本次评标采用经评审的最低投标价法。</w:t>
      </w:r>
      <w:r>
        <w:rPr>
          <w:rFonts w:hint="eastAsia" w:ascii="宋体" w:hAnsi="宋体" w:cs="宋体"/>
          <w:highlight w:val="white"/>
        </w:rPr>
        <w:t>评标委员会对满足招标文件实质要求的投标文件，按照本章第</w:t>
      </w:r>
      <w:r>
        <w:rPr>
          <w:rFonts w:ascii="宋体" w:hAnsi="宋体" w:cs="宋体"/>
          <w:highlight w:val="white"/>
        </w:rPr>
        <w:t>2.3</w:t>
      </w:r>
      <w:r>
        <w:rPr>
          <w:rFonts w:hint="eastAsia" w:ascii="宋体" w:hAnsi="宋体" w:cs="宋体"/>
          <w:highlight w:val="white"/>
        </w:rPr>
        <w:t>款规定的评分标准进行打分，并按报价得分由高到低顺序推荐中标候选人。报价得分相等时，以投标报价低的优先；投标报价也相等的，则抽签确定。</w:t>
      </w:r>
      <w:bookmarkStart w:id="134" w:name="_Toc498006730"/>
    </w:p>
    <w:p w14:paraId="321722A7">
      <w:pPr>
        <w:spacing w:line="400" w:lineRule="exact"/>
        <w:rPr>
          <w:rFonts w:ascii="宋体"/>
          <w:b/>
          <w:bCs/>
        </w:rPr>
      </w:pPr>
      <w:r>
        <w:rPr>
          <w:rFonts w:ascii="宋体" w:hAnsi="宋体" w:cs="宋体"/>
          <w:b/>
          <w:bCs/>
          <w:highlight w:val="white"/>
        </w:rPr>
        <w:t xml:space="preserve">2. </w:t>
      </w:r>
      <w:r>
        <w:rPr>
          <w:rFonts w:hint="eastAsia" w:ascii="宋体" w:hAnsi="宋体" w:cs="宋体"/>
          <w:b/>
          <w:bCs/>
          <w:highlight w:val="white"/>
        </w:rPr>
        <w:t>评审标准</w:t>
      </w:r>
      <w:bookmarkEnd w:id="134"/>
    </w:p>
    <w:p w14:paraId="4252A861">
      <w:pPr>
        <w:spacing w:line="400" w:lineRule="exact"/>
        <w:rPr>
          <w:rFonts w:ascii="宋体" w:hAnsi="宋体" w:cs="宋体"/>
          <w:b/>
          <w:bCs/>
          <w:highlight w:val="white"/>
        </w:rPr>
      </w:pPr>
      <w:bookmarkStart w:id="135" w:name="_Toc498006731"/>
      <w:r>
        <w:rPr>
          <w:rFonts w:ascii="宋体" w:hAnsi="宋体" w:cs="宋体"/>
          <w:b/>
          <w:bCs/>
          <w:highlight w:val="white"/>
        </w:rPr>
        <w:t>2.1</w:t>
      </w:r>
      <w:r>
        <w:rPr>
          <w:rFonts w:hint="eastAsia" w:ascii="宋体" w:hAnsi="宋体" w:cs="宋体"/>
          <w:b/>
          <w:bCs/>
          <w:highlight w:val="white"/>
        </w:rPr>
        <w:t>资格审查入围</w:t>
      </w:r>
      <w:bookmarkEnd w:id="135"/>
    </w:p>
    <w:p w14:paraId="69BED4CB">
      <w:pPr>
        <w:spacing w:line="400" w:lineRule="exact"/>
        <w:ind w:firstLine="420" w:firstLineChars="200"/>
        <w:rPr>
          <w:rFonts w:ascii="宋体"/>
        </w:rPr>
      </w:pPr>
      <w:r>
        <w:rPr>
          <w:rFonts w:ascii="宋体" w:hAnsi="宋体" w:cs="宋体"/>
        </w:rPr>
        <w:t>2.1.1</w:t>
      </w:r>
      <w:r>
        <w:rPr>
          <w:rFonts w:hint="eastAsia" w:ascii="宋体" w:hAnsi="宋体" w:cs="宋体"/>
        </w:rPr>
        <w:t>全部入围：见评标办法前附表。</w:t>
      </w:r>
    </w:p>
    <w:p w14:paraId="3C1F8D9A">
      <w:pPr>
        <w:spacing w:line="400" w:lineRule="exact"/>
        <w:rPr>
          <w:rFonts w:ascii="宋体" w:hAnsi="宋体" w:cs="宋体"/>
          <w:b/>
          <w:bCs/>
          <w:highlight w:val="white"/>
        </w:rPr>
      </w:pPr>
      <w:bookmarkStart w:id="136" w:name="_Toc498006732"/>
      <w:r>
        <w:rPr>
          <w:rFonts w:ascii="宋体" w:hAnsi="宋体" w:cs="宋体"/>
          <w:b/>
          <w:bCs/>
          <w:highlight w:val="white"/>
        </w:rPr>
        <w:t>2.2</w:t>
      </w:r>
      <w:r>
        <w:rPr>
          <w:rFonts w:hint="eastAsia" w:ascii="宋体" w:hAnsi="宋体" w:cs="宋体"/>
          <w:b/>
          <w:bCs/>
          <w:highlight w:val="white"/>
        </w:rPr>
        <w:t>初步评审标准</w:t>
      </w:r>
      <w:bookmarkEnd w:id="136"/>
    </w:p>
    <w:p w14:paraId="60AF689F">
      <w:pPr>
        <w:spacing w:line="400" w:lineRule="exact"/>
        <w:ind w:firstLine="420" w:firstLineChars="200"/>
        <w:rPr>
          <w:rFonts w:ascii="宋体"/>
        </w:rPr>
      </w:pPr>
      <w:r>
        <w:rPr>
          <w:rFonts w:ascii="宋体" w:hAnsi="宋体" w:cs="宋体"/>
          <w:highlight w:val="white"/>
        </w:rPr>
        <w:t>2.2.1</w:t>
      </w:r>
      <w:r>
        <w:rPr>
          <w:rFonts w:hint="eastAsia" w:ascii="宋体" w:hAnsi="宋体" w:cs="宋体"/>
          <w:highlight w:val="white"/>
        </w:rPr>
        <w:t>资格评审标准：见评标办法前附表。</w:t>
      </w:r>
    </w:p>
    <w:p w14:paraId="4FDFA1D6">
      <w:pPr>
        <w:spacing w:line="400" w:lineRule="exact"/>
        <w:ind w:firstLine="420" w:firstLineChars="200"/>
        <w:rPr>
          <w:rFonts w:ascii="宋体"/>
        </w:rPr>
      </w:pPr>
      <w:r>
        <w:rPr>
          <w:rFonts w:ascii="宋体" w:hAnsi="宋体" w:cs="宋体"/>
          <w:highlight w:val="white"/>
        </w:rPr>
        <w:t>2.2.2</w:t>
      </w:r>
      <w:r>
        <w:rPr>
          <w:rFonts w:hint="eastAsia" w:ascii="宋体" w:hAnsi="宋体" w:cs="宋体"/>
          <w:highlight w:val="white"/>
        </w:rPr>
        <w:t>形式评审标准：见评标办法前附表。</w:t>
      </w:r>
    </w:p>
    <w:p w14:paraId="652D9826">
      <w:pPr>
        <w:spacing w:line="400" w:lineRule="exact"/>
        <w:ind w:firstLine="420" w:firstLineChars="200"/>
        <w:rPr>
          <w:rFonts w:ascii="宋体"/>
        </w:rPr>
      </w:pPr>
      <w:r>
        <w:rPr>
          <w:rFonts w:ascii="宋体" w:hAnsi="宋体" w:cs="宋体"/>
          <w:highlight w:val="white"/>
        </w:rPr>
        <w:t xml:space="preserve">2.2.3 </w:t>
      </w:r>
      <w:r>
        <w:rPr>
          <w:rFonts w:hint="eastAsia" w:ascii="宋体" w:hAnsi="宋体" w:cs="宋体"/>
          <w:highlight w:val="white"/>
        </w:rPr>
        <w:t>响应性评审标准：见评标办法前附表。</w:t>
      </w:r>
    </w:p>
    <w:p w14:paraId="2B4BA7DB">
      <w:pPr>
        <w:spacing w:line="400" w:lineRule="exact"/>
        <w:rPr>
          <w:rFonts w:ascii="宋体" w:hAnsi="宋体" w:cs="宋体"/>
          <w:b/>
          <w:bCs/>
          <w:highlight w:val="white"/>
        </w:rPr>
      </w:pPr>
      <w:bookmarkStart w:id="137" w:name="_Toc498006733"/>
      <w:r>
        <w:rPr>
          <w:rFonts w:ascii="宋体" w:hAnsi="宋体" w:cs="宋体"/>
          <w:b/>
          <w:bCs/>
          <w:highlight w:val="white"/>
        </w:rPr>
        <w:t xml:space="preserve">2.3 </w:t>
      </w:r>
      <w:r>
        <w:rPr>
          <w:rFonts w:hint="eastAsia" w:ascii="宋体" w:hAnsi="宋体" w:cs="宋体"/>
          <w:b/>
          <w:bCs/>
          <w:highlight w:val="white"/>
        </w:rPr>
        <w:t>详细评审</w:t>
      </w:r>
      <w:bookmarkEnd w:id="137"/>
    </w:p>
    <w:p w14:paraId="56A4AA07">
      <w:pPr>
        <w:pStyle w:val="155"/>
        <w:spacing w:line="400" w:lineRule="exact"/>
        <w:ind w:firstLine="422"/>
        <w:jc w:val="both"/>
        <w:rPr>
          <w:rFonts w:hint="eastAsia" w:eastAsia="宋体" w:cs="Times New Roman"/>
          <w:sz w:val="21"/>
          <w:szCs w:val="21"/>
          <w:highlight w:val="white"/>
          <w:lang w:val="en-US" w:eastAsia="zh-CN"/>
        </w:rPr>
      </w:pPr>
      <w:r>
        <w:rPr>
          <w:sz w:val="21"/>
          <w:szCs w:val="21"/>
          <w:highlight w:val="white"/>
        </w:rPr>
        <w:t xml:space="preserve">2.3.1 </w:t>
      </w:r>
      <w:r>
        <w:rPr>
          <w:rFonts w:hint="eastAsia"/>
          <w:sz w:val="21"/>
          <w:szCs w:val="21"/>
          <w:highlight w:val="white"/>
        </w:rPr>
        <w:t>评审因素及分值构成：见评标办法前附表</w:t>
      </w:r>
      <w:r>
        <w:rPr>
          <w:rFonts w:hint="eastAsia"/>
          <w:sz w:val="21"/>
          <w:szCs w:val="21"/>
        </w:rPr>
        <w:t>。</w:t>
      </w:r>
    </w:p>
    <w:p w14:paraId="055AED21">
      <w:pPr>
        <w:pStyle w:val="155"/>
        <w:spacing w:line="400" w:lineRule="exact"/>
        <w:ind w:firstLine="422"/>
        <w:jc w:val="both"/>
        <w:rPr>
          <w:rFonts w:cs="Times New Roman"/>
          <w:sz w:val="32"/>
          <w:szCs w:val="32"/>
          <w:lang w:val="zh-CN"/>
        </w:rPr>
      </w:pPr>
      <w:r>
        <w:rPr>
          <w:sz w:val="21"/>
          <w:szCs w:val="21"/>
          <w:highlight w:val="white"/>
        </w:rPr>
        <w:t xml:space="preserve">2.3.2 </w:t>
      </w:r>
      <w:r>
        <w:rPr>
          <w:rFonts w:hint="eastAsia"/>
          <w:sz w:val="21"/>
          <w:szCs w:val="21"/>
          <w:highlight w:val="white"/>
        </w:rPr>
        <w:t>评标基准价计算方法：见评标办法前附表</w:t>
      </w:r>
      <w:r>
        <w:rPr>
          <w:rFonts w:hint="eastAsia"/>
          <w:sz w:val="21"/>
          <w:szCs w:val="21"/>
        </w:rPr>
        <w:t>。</w:t>
      </w:r>
    </w:p>
    <w:p w14:paraId="00F6F4EE">
      <w:pPr>
        <w:pStyle w:val="155"/>
        <w:spacing w:line="400" w:lineRule="exact"/>
        <w:ind w:firstLine="422"/>
        <w:jc w:val="both"/>
        <w:rPr>
          <w:rFonts w:cs="Times New Roman"/>
          <w:sz w:val="21"/>
          <w:szCs w:val="21"/>
        </w:rPr>
      </w:pPr>
      <w:r>
        <w:rPr>
          <w:sz w:val="21"/>
          <w:szCs w:val="21"/>
          <w:highlight w:val="white"/>
        </w:rPr>
        <w:t xml:space="preserve">2.3.3 </w:t>
      </w:r>
      <w:r>
        <w:rPr>
          <w:rFonts w:hint="eastAsia"/>
          <w:sz w:val="21"/>
          <w:szCs w:val="21"/>
          <w:highlight w:val="white"/>
        </w:rPr>
        <w:t>评分标准</w:t>
      </w:r>
    </w:p>
    <w:p w14:paraId="0E9BC2E7">
      <w:pPr>
        <w:pStyle w:val="155"/>
        <w:spacing w:line="400" w:lineRule="exact"/>
        <w:ind w:firstLine="422"/>
        <w:jc w:val="both"/>
        <w:rPr>
          <w:sz w:val="21"/>
          <w:szCs w:val="21"/>
        </w:rPr>
      </w:pPr>
      <w:r>
        <w:rPr>
          <w:rFonts w:hint="eastAsia"/>
          <w:sz w:val="21"/>
          <w:szCs w:val="21"/>
          <w:highlight w:val="white"/>
        </w:rPr>
        <w:t>投标报价评分标准：见评标办法前附表</w:t>
      </w:r>
      <w:r>
        <w:rPr>
          <w:rFonts w:hint="eastAsia"/>
          <w:sz w:val="21"/>
          <w:szCs w:val="21"/>
        </w:rPr>
        <w:t>。</w:t>
      </w:r>
    </w:p>
    <w:p w14:paraId="49392FD5">
      <w:pPr>
        <w:spacing w:line="400" w:lineRule="exact"/>
        <w:rPr>
          <w:rFonts w:ascii="宋体" w:hAnsi="宋体" w:cs="宋体"/>
          <w:b/>
          <w:bCs/>
          <w:highlight w:val="white"/>
        </w:rPr>
      </w:pPr>
      <w:bookmarkStart w:id="138" w:name="_Toc498006734"/>
      <w:r>
        <w:rPr>
          <w:rFonts w:ascii="宋体" w:hAnsi="宋体" w:cs="宋体"/>
          <w:b/>
          <w:bCs/>
          <w:highlight w:val="white"/>
        </w:rPr>
        <w:t xml:space="preserve">3. </w:t>
      </w:r>
      <w:r>
        <w:rPr>
          <w:rFonts w:hint="eastAsia" w:ascii="宋体" w:hAnsi="宋体" w:cs="宋体"/>
          <w:b/>
          <w:bCs/>
          <w:highlight w:val="white"/>
        </w:rPr>
        <w:t>评标程序</w:t>
      </w:r>
      <w:bookmarkEnd w:id="138"/>
    </w:p>
    <w:p w14:paraId="7EA2E5BC">
      <w:pPr>
        <w:spacing w:line="400" w:lineRule="exact"/>
        <w:rPr>
          <w:rFonts w:ascii="宋体" w:hAnsi="宋体" w:cs="宋体"/>
          <w:b/>
          <w:bCs/>
          <w:highlight w:val="white"/>
        </w:rPr>
      </w:pPr>
      <w:bookmarkStart w:id="139" w:name="_Toc498006735"/>
      <w:r>
        <w:rPr>
          <w:rFonts w:ascii="宋体" w:hAnsi="宋体" w:cs="宋体"/>
          <w:b/>
          <w:bCs/>
          <w:highlight w:val="white"/>
        </w:rPr>
        <w:t>3.1</w:t>
      </w:r>
      <w:r>
        <w:rPr>
          <w:rFonts w:hint="eastAsia" w:ascii="宋体" w:hAnsi="宋体" w:cs="宋体"/>
          <w:b/>
          <w:bCs/>
          <w:highlight w:val="white"/>
        </w:rPr>
        <w:t>评标准备</w:t>
      </w:r>
      <w:bookmarkEnd w:id="139"/>
    </w:p>
    <w:p w14:paraId="422C8B3B">
      <w:pPr>
        <w:autoSpaceDE w:val="0"/>
        <w:autoSpaceDN w:val="0"/>
        <w:spacing w:line="400" w:lineRule="exact"/>
        <w:ind w:firstLine="420" w:firstLineChars="200"/>
        <w:jc w:val="left"/>
        <w:rPr>
          <w:rFonts w:ascii="宋体"/>
          <w:kern w:val="0"/>
        </w:rPr>
      </w:pPr>
      <w:r>
        <w:rPr>
          <w:rFonts w:ascii="宋体" w:hAnsi="宋体" w:cs="宋体"/>
          <w:kern w:val="0"/>
        </w:rPr>
        <w:t xml:space="preserve">3.1.1 </w:t>
      </w:r>
      <w:r>
        <w:rPr>
          <w:rFonts w:hint="eastAsia" w:ascii="宋体" w:hAnsi="宋体" w:cs="宋体"/>
          <w:kern w:val="0"/>
        </w:rPr>
        <w:t>评标委员会成员到达评标现场时应在签到表上签到以证明其出席。</w:t>
      </w:r>
    </w:p>
    <w:p w14:paraId="0B62CCA7">
      <w:pPr>
        <w:autoSpaceDE w:val="0"/>
        <w:autoSpaceDN w:val="0"/>
        <w:spacing w:line="400" w:lineRule="exact"/>
        <w:ind w:firstLine="420" w:firstLineChars="200"/>
        <w:jc w:val="left"/>
        <w:rPr>
          <w:rFonts w:ascii="宋体"/>
          <w:kern w:val="0"/>
        </w:rPr>
      </w:pPr>
      <w:r>
        <w:rPr>
          <w:rFonts w:ascii="宋体" w:hAnsi="宋体" w:cs="宋体"/>
          <w:kern w:val="0"/>
        </w:rPr>
        <w:t xml:space="preserve">3.1.2 </w:t>
      </w:r>
      <w:r>
        <w:rPr>
          <w:rFonts w:hint="eastAsia" w:ascii="宋体" w:hAnsi="宋体" w:cs="宋体"/>
          <w:kern w:val="0"/>
        </w:rPr>
        <w:t>评标委员会成员首先推选一名评标委员会负责人，负责评标活动的组织领导工作。</w:t>
      </w:r>
    </w:p>
    <w:p w14:paraId="3D98EC3A">
      <w:pPr>
        <w:autoSpaceDE w:val="0"/>
        <w:autoSpaceDN w:val="0"/>
        <w:spacing w:line="400" w:lineRule="exact"/>
        <w:ind w:firstLine="420" w:firstLineChars="200"/>
        <w:jc w:val="left"/>
        <w:rPr>
          <w:rFonts w:ascii="宋体"/>
          <w:kern w:val="0"/>
        </w:rPr>
      </w:pPr>
      <w:r>
        <w:rPr>
          <w:rFonts w:ascii="宋体" w:hAnsi="宋体" w:cs="宋体"/>
          <w:kern w:val="0"/>
        </w:rPr>
        <w:t xml:space="preserve">3.1.3 </w:t>
      </w:r>
      <w:r>
        <w:rPr>
          <w:rFonts w:hint="eastAsia" w:ascii="宋体" w:hAnsi="宋体" w:cs="宋体"/>
          <w:kern w:val="0"/>
        </w:rPr>
        <w:t>招标人或招标代理机构应向评标委员会提供评标所需的信息和数据。评标委员会负责人应组织评标委员会成员认真研究招标文件，未在招标文件中规定的标准和方法不得作为评标的依据。</w:t>
      </w:r>
    </w:p>
    <w:p w14:paraId="567520AB">
      <w:pPr>
        <w:spacing w:line="400" w:lineRule="exact"/>
        <w:rPr>
          <w:rFonts w:ascii="宋体" w:hAnsi="宋体" w:cs="宋体"/>
          <w:b/>
          <w:bCs/>
          <w:highlight w:val="white"/>
        </w:rPr>
      </w:pPr>
      <w:bookmarkStart w:id="140" w:name="_Toc498006736"/>
      <w:r>
        <w:rPr>
          <w:rFonts w:ascii="宋体" w:hAnsi="宋体" w:cs="宋体"/>
          <w:b/>
          <w:bCs/>
          <w:highlight w:val="white"/>
        </w:rPr>
        <w:t>3.2</w:t>
      </w:r>
      <w:r>
        <w:rPr>
          <w:rFonts w:hint="eastAsia" w:ascii="宋体" w:hAnsi="宋体" w:cs="宋体"/>
          <w:b/>
          <w:bCs/>
          <w:highlight w:val="white"/>
        </w:rPr>
        <w:t>资格审查入围</w:t>
      </w:r>
      <w:bookmarkEnd w:id="140"/>
    </w:p>
    <w:p w14:paraId="17B756A8">
      <w:pPr>
        <w:adjustRightInd w:val="0"/>
        <w:snapToGrid w:val="0"/>
        <w:spacing w:line="400" w:lineRule="exact"/>
        <w:ind w:firstLine="420" w:firstLineChars="200"/>
        <w:rPr>
          <w:rFonts w:ascii="宋体"/>
        </w:rPr>
      </w:pPr>
      <w:r>
        <w:rPr>
          <w:rFonts w:hint="eastAsia" w:ascii="宋体" w:hAnsi="宋体" w:cs="宋体"/>
        </w:rPr>
        <w:t>评标委员会按本章</w:t>
      </w:r>
      <w:r>
        <w:rPr>
          <w:rFonts w:ascii="宋体" w:hAnsi="宋体" w:cs="宋体"/>
        </w:rPr>
        <w:t>2.1</w:t>
      </w:r>
      <w:r>
        <w:rPr>
          <w:rFonts w:hint="eastAsia" w:ascii="宋体" w:hAnsi="宋体" w:cs="宋体"/>
        </w:rPr>
        <w:t>条规定的方法确定进入初步评审的投标人名单。</w:t>
      </w:r>
    </w:p>
    <w:p w14:paraId="72034B6B">
      <w:pPr>
        <w:spacing w:line="400" w:lineRule="exact"/>
        <w:rPr>
          <w:rFonts w:ascii="宋体" w:hAnsi="宋体" w:cs="宋体"/>
          <w:b/>
          <w:bCs/>
          <w:highlight w:val="white"/>
        </w:rPr>
      </w:pPr>
      <w:bookmarkStart w:id="141" w:name="_Toc498006737"/>
      <w:r>
        <w:rPr>
          <w:rFonts w:ascii="宋体" w:hAnsi="宋体" w:cs="宋体"/>
          <w:b/>
          <w:bCs/>
          <w:highlight w:val="white"/>
        </w:rPr>
        <w:t>3.3</w:t>
      </w:r>
      <w:r>
        <w:rPr>
          <w:rFonts w:hint="eastAsia" w:ascii="宋体" w:hAnsi="宋体" w:cs="宋体"/>
          <w:b/>
          <w:bCs/>
          <w:highlight w:val="white"/>
        </w:rPr>
        <w:t>初步评审</w:t>
      </w:r>
      <w:bookmarkEnd w:id="141"/>
    </w:p>
    <w:p w14:paraId="74EF0049">
      <w:pPr>
        <w:adjustRightInd w:val="0"/>
        <w:snapToGrid w:val="0"/>
        <w:spacing w:line="400" w:lineRule="exact"/>
        <w:ind w:firstLine="420" w:firstLineChars="200"/>
        <w:rPr>
          <w:rFonts w:ascii="宋体"/>
        </w:rPr>
      </w:pPr>
      <w:r>
        <w:rPr>
          <w:rFonts w:ascii="宋体" w:hAnsi="宋体" w:cs="宋体"/>
          <w:highlight w:val="white"/>
        </w:rPr>
        <w:t>3.3.1</w:t>
      </w:r>
      <w:r>
        <w:rPr>
          <w:rFonts w:hint="eastAsia" w:ascii="宋体" w:hAnsi="宋体" w:cs="宋体"/>
          <w:highlight w:val="white"/>
        </w:rPr>
        <w:t>资格评审</w:t>
      </w:r>
    </w:p>
    <w:p w14:paraId="1325F2E1">
      <w:pPr>
        <w:adjustRightInd w:val="0"/>
        <w:snapToGrid w:val="0"/>
        <w:spacing w:line="400" w:lineRule="exact"/>
        <w:ind w:firstLine="420" w:firstLineChars="200"/>
        <w:rPr>
          <w:rFonts w:ascii="宋体"/>
        </w:rPr>
      </w:pPr>
      <w:r>
        <w:rPr>
          <w:rFonts w:hint="eastAsia" w:ascii="宋体" w:hAnsi="宋体" w:cs="宋体"/>
          <w:highlight w:val="white"/>
        </w:rPr>
        <w:t>评标委员会根据本章第</w:t>
      </w:r>
      <w:r>
        <w:rPr>
          <w:rFonts w:ascii="宋体" w:hAnsi="宋体" w:cs="宋体"/>
          <w:highlight w:val="white"/>
        </w:rPr>
        <w:t>2.2.1</w:t>
      </w:r>
      <w:r>
        <w:rPr>
          <w:rFonts w:hint="eastAsia" w:ascii="宋体" w:hAnsi="宋体" w:cs="宋体"/>
          <w:highlight w:val="white"/>
        </w:rPr>
        <w:t>款列出的评审标准，</w:t>
      </w:r>
      <w:r>
        <w:rPr>
          <w:rFonts w:hint="eastAsia" w:ascii="宋体" w:hAnsi="宋体" w:cs="宋体"/>
          <w:kern w:val="0"/>
        </w:rPr>
        <w:t>有一项不符合评审标准的，作无效标处理。</w:t>
      </w:r>
    </w:p>
    <w:p w14:paraId="3254AF3F">
      <w:pPr>
        <w:adjustRightInd w:val="0"/>
        <w:snapToGrid w:val="0"/>
        <w:spacing w:line="400" w:lineRule="exact"/>
        <w:ind w:firstLine="420" w:firstLineChars="200"/>
        <w:rPr>
          <w:rFonts w:ascii="宋体"/>
        </w:rPr>
      </w:pPr>
      <w:r>
        <w:rPr>
          <w:rFonts w:ascii="宋体" w:hAnsi="宋体" w:cs="宋体"/>
          <w:highlight w:val="white"/>
        </w:rPr>
        <w:t>3.3.2</w:t>
      </w:r>
      <w:r>
        <w:rPr>
          <w:rFonts w:hint="eastAsia" w:ascii="宋体" w:hAnsi="宋体" w:cs="宋体"/>
          <w:highlight w:val="white"/>
        </w:rPr>
        <w:t>形式性评审</w:t>
      </w:r>
    </w:p>
    <w:p w14:paraId="4D2142F7">
      <w:pPr>
        <w:adjustRightInd w:val="0"/>
        <w:snapToGrid w:val="0"/>
        <w:spacing w:line="400" w:lineRule="exact"/>
        <w:ind w:firstLine="420" w:firstLineChars="200"/>
        <w:rPr>
          <w:rFonts w:ascii="宋体"/>
        </w:rPr>
      </w:pPr>
      <w:r>
        <w:rPr>
          <w:rFonts w:hint="eastAsia" w:ascii="宋体" w:hAnsi="宋体" w:cs="宋体"/>
          <w:highlight w:val="white"/>
        </w:rPr>
        <w:t>评标委员会根据本章第</w:t>
      </w:r>
      <w:r>
        <w:rPr>
          <w:rFonts w:ascii="宋体" w:hAnsi="宋体" w:cs="宋体"/>
          <w:highlight w:val="white"/>
        </w:rPr>
        <w:t>2.2.2</w:t>
      </w:r>
      <w:r>
        <w:rPr>
          <w:rFonts w:hint="eastAsia" w:ascii="宋体" w:hAnsi="宋体" w:cs="宋体"/>
          <w:highlight w:val="white"/>
        </w:rPr>
        <w:t>款列出的评审标准，</w:t>
      </w:r>
      <w:r>
        <w:rPr>
          <w:rFonts w:hint="eastAsia" w:ascii="宋体" w:hAnsi="宋体" w:cs="宋体"/>
          <w:kern w:val="0"/>
        </w:rPr>
        <w:t>有一项不符合评审标准的，作无效标处理。</w:t>
      </w:r>
    </w:p>
    <w:p w14:paraId="03CBE3C3">
      <w:pPr>
        <w:adjustRightInd w:val="0"/>
        <w:snapToGrid w:val="0"/>
        <w:spacing w:line="400" w:lineRule="exact"/>
        <w:ind w:firstLine="420" w:firstLineChars="200"/>
        <w:rPr>
          <w:rFonts w:ascii="宋体"/>
        </w:rPr>
      </w:pPr>
      <w:r>
        <w:rPr>
          <w:rFonts w:ascii="宋体" w:hAnsi="宋体" w:cs="宋体"/>
          <w:highlight w:val="white"/>
        </w:rPr>
        <w:t>3.3.3</w:t>
      </w:r>
      <w:r>
        <w:rPr>
          <w:rFonts w:hint="eastAsia" w:ascii="宋体" w:hAnsi="宋体" w:cs="宋体"/>
          <w:highlight w:val="white"/>
        </w:rPr>
        <w:t>响应性评审</w:t>
      </w:r>
    </w:p>
    <w:p w14:paraId="10DCEDEF">
      <w:pPr>
        <w:adjustRightInd w:val="0"/>
        <w:snapToGrid w:val="0"/>
        <w:spacing w:line="400" w:lineRule="exact"/>
        <w:ind w:firstLine="420" w:firstLineChars="200"/>
        <w:rPr>
          <w:rFonts w:ascii="宋体"/>
        </w:rPr>
      </w:pPr>
      <w:r>
        <w:rPr>
          <w:rFonts w:hint="eastAsia" w:ascii="宋体" w:hAnsi="宋体" w:cs="宋体"/>
          <w:highlight w:val="white"/>
        </w:rPr>
        <w:t>评标委员会根据本章第</w:t>
      </w:r>
      <w:r>
        <w:rPr>
          <w:rFonts w:ascii="宋体" w:hAnsi="宋体" w:cs="宋体"/>
          <w:highlight w:val="white"/>
        </w:rPr>
        <w:t>2.2.3</w:t>
      </w:r>
      <w:r>
        <w:rPr>
          <w:rFonts w:hint="eastAsia" w:ascii="宋体" w:hAnsi="宋体" w:cs="宋体"/>
          <w:highlight w:val="white"/>
        </w:rPr>
        <w:t>款列出的评审标准，</w:t>
      </w:r>
      <w:r>
        <w:rPr>
          <w:rFonts w:hint="eastAsia" w:ascii="宋体" w:hAnsi="宋体" w:cs="宋体"/>
          <w:kern w:val="0"/>
        </w:rPr>
        <w:t>有一项不符合评审标准的，作无效标处理。</w:t>
      </w:r>
    </w:p>
    <w:p w14:paraId="2E93F4AA">
      <w:pPr>
        <w:spacing w:line="400" w:lineRule="exact"/>
        <w:ind w:firstLine="420" w:firstLineChars="200"/>
        <w:rPr>
          <w:rFonts w:ascii="宋体"/>
        </w:rPr>
      </w:pPr>
      <w:r>
        <w:rPr>
          <w:rFonts w:ascii="宋体" w:hAnsi="宋体" w:cs="宋体"/>
          <w:highlight w:val="white"/>
        </w:rPr>
        <w:t>3.3.4</w:t>
      </w:r>
      <w:r>
        <w:rPr>
          <w:rFonts w:hint="eastAsia" w:ascii="宋体" w:hAnsi="宋体" w:cs="宋体"/>
          <w:highlight w:val="white"/>
        </w:rPr>
        <w:t>投标报价有算术错误的，评标委员会按以下原则对投标报价进行修正，修正的价格经投标人书面确认后具有约束力。投标人不接受修正价格的，评标委员会应当否决其投标。</w:t>
      </w:r>
    </w:p>
    <w:p w14:paraId="416FC98F">
      <w:pPr>
        <w:spacing w:line="400" w:lineRule="exact"/>
        <w:ind w:firstLine="420" w:firstLineChars="200"/>
        <w:rPr>
          <w:rFonts w:ascii="宋体"/>
        </w:rPr>
      </w:pPr>
      <w:r>
        <w:rPr>
          <w:rFonts w:hint="eastAsia" w:ascii="宋体" w:hAnsi="宋体" w:cs="宋体"/>
          <w:highlight w:val="white"/>
        </w:rPr>
        <w:t>（</w:t>
      </w:r>
      <w:r>
        <w:rPr>
          <w:rFonts w:ascii="宋体" w:hAnsi="宋体" w:cs="宋体"/>
          <w:highlight w:val="white"/>
        </w:rPr>
        <w:t>1</w:t>
      </w:r>
      <w:r>
        <w:rPr>
          <w:rFonts w:hint="eastAsia" w:ascii="宋体" w:hAnsi="宋体" w:cs="宋体"/>
          <w:highlight w:val="white"/>
        </w:rPr>
        <w:t>）投标文件中的大写金额与小写金额不一致的，以大写金额为准；</w:t>
      </w:r>
    </w:p>
    <w:p w14:paraId="2CE84F26">
      <w:pPr>
        <w:spacing w:line="400" w:lineRule="exact"/>
        <w:ind w:firstLine="420" w:firstLineChars="200"/>
        <w:rPr>
          <w:rFonts w:ascii="宋体"/>
        </w:rPr>
      </w:pPr>
      <w:r>
        <w:rPr>
          <w:rFonts w:hint="eastAsia" w:ascii="宋体" w:hAnsi="宋体" w:cs="宋体"/>
          <w:highlight w:val="white"/>
        </w:rPr>
        <w:t>（</w:t>
      </w:r>
      <w:r>
        <w:rPr>
          <w:rFonts w:ascii="宋体" w:hAnsi="宋体" w:cs="宋体"/>
          <w:highlight w:val="white"/>
        </w:rPr>
        <w:t>2</w:t>
      </w:r>
      <w:r>
        <w:rPr>
          <w:rFonts w:hint="eastAsia" w:ascii="宋体" w:hAnsi="宋体" w:cs="宋体"/>
          <w:highlight w:val="white"/>
        </w:rPr>
        <w:t>）总价金额与依据单价计算出的结果不一致的，以单价金额为准修正总价，但单价金额小数点有明显错误、四舍五入原因的除外；</w:t>
      </w:r>
    </w:p>
    <w:p w14:paraId="41212D4A">
      <w:pPr>
        <w:spacing w:line="400" w:lineRule="exact"/>
        <w:ind w:firstLine="420" w:firstLineChars="200"/>
        <w:rPr>
          <w:rFonts w:ascii="宋体"/>
        </w:rPr>
      </w:pPr>
      <w:r>
        <w:rPr>
          <w:rFonts w:ascii="宋体" w:hAnsi="宋体" w:cs="宋体"/>
          <w:highlight w:val="white"/>
        </w:rPr>
        <w:t>3.3.5</w:t>
      </w:r>
      <w:r>
        <w:rPr>
          <w:rFonts w:hint="eastAsia" w:ascii="宋体" w:hAnsi="宋体" w:cs="宋体"/>
          <w:highlight w:val="white"/>
        </w:rPr>
        <w:t>澄清、说明或补正</w:t>
      </w:r>
    </w:p>
    <w:p w14:paraId="26A003B6">
      <w:pPr>
        <w:adjustRightInd w:val="0"/>
        <w:snapToGrid w:val="0"/>
        <w:spacing w:line="400" w:lineRule="exact"/>
        <w:ind w:firstLine="420" w:firstLineChars="200"/>
        <w:rPr>
          <w:rFonts w:ascii="宋体"/>
        </w:rPr>
      </w:pPr>
      <w:r>
        <w:rPr>
          <w:rFonts w:hint="eastAsia" w:ascii="宋体" w:hAnsi="宋体" w:cs="宋体"/>
          <w:highlight w:val="white"/>
        </w:rPr>
        <w:t>在初步评审过程中，评标委员会应当就投标文件中不明确的内容要求投标人进行澄清、说明或补正，澄清、说明或补正按照本章第</w:t>
      </w:r>
      <w:r>
        <w:rPr>
          <w:rFonts w:ascii="宋体" w:hAnsi="宋体" w:cs="宋体"/>
          <w:highlight w:val="white"/>
        </w:rPr>
        <w:t>3.5</w:t>
      </w:r>
      <w:r>
        <w:rPr>
          <w:rFonts w:hint="eastAsia" w:ascii="宋体" w:hAnsi="宋体" w:cs="宋体"/>
          <w:highlight w:val="white"/>
        </w:rPr>
        <w:t>款的规定进行。</w:t>
      </w:r>
    </w:p>
    <w:p w14:paraId="1CB49746">
      <w:pPr>
        <w:spacing w:line="400" w:lineRule="exact"/>
        <w:ind w:firstLine="420" w:firstLineChars="200"/>
        <w:rPr>
          <w:rFonts w:ascii="宋体"/>
          <w:highlight w:val="white"/>
        </w:rPr>
      </w:pPr>
      <w:r>
        <w:rPr>
          <w:rFonts w:ascii="宋体" w:hAnsi="宋体" w:cs="宋体"/>
          <w:highlight w:val="white"/>
        </w:rPr>
        <w:t>3.3.6</w:t>
      </w:r>
      <w:r>
        <w:rPr>
          <w:rFonts w:hint="eastAsia" w:ascii="宋体" w:hAnsi="宋体" w:cs="宋体"/>
          <w:highlight w:val="white"/>
        </w:rPr>
        <w:t>投标人有以下情形之一的，其投标作无效标处理：</w:t>
      </w:r>
    </w:p>
    <w:p w14:paraId="07F5552F">
      <w:pPr>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1</w:t>
      </w:r>
      <w:r>
        <w:rPr>
          <w:rFonts w:hint="eastAsia" w:ascii="宋体" w:hAnsi="宋体" w:cs="宋体"/>
          <w:highlight w:val="white"/>
        </w:rPr>
        <w:t>）第二章“投标人须知”第</w:t>
      </w:r>
      <w:r>
        <w:rPr>
          <w:rFonts w:ascii="宋体" w:hAnsi="宋体" w:cs="宋体"/>
          <w:highlight w:val="white"/>
        </w:rPr>
        <w:t>1.4.3</w:t>
      </w:r>
      <w:r>
        <w:rPr>
          <w:rFonts w:hint="eastAsia" w:ascii="宋体" w:hAnsi="宋体" w:cs="宋体"/>
          <w:highlight w:val="white"/>
        </w:rPr>
        <w:t>项规定的任何一种情形的；</w:t>
      </w:r>
    </w:p>
    <w:p w14:paraId="1F13EB93">
      <w:pPr>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2</w:t>
      </w:r>
      <w:r>
        <w:rPr>
          <w:rFonts w:hint="eastAsia" w:ascii="宋体" w:hAnsi="宋体" w:cs="宋体"/>
          <w:highlight w:val="white"/>
        </w:rPr>
        <w:t>）以他人的名义投标、串通投标、以行贿手段谋取中标或者以其他弄虚作假方式投标的；</w:t>
      </w:r>
    </w:p>
    <w:p w14:paraId="1BA88E4C">
      <w:pPr>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3</w:t>
      </w:r>
      <w:r>
        <w:rPr>
          <w:rFonts w:hint="eastAsia" w:ascii="宋体" w:hAnsi="宋体" w:cs="宋体"/>
          <w:highlight w:val="white"/>
        </w:rPr>
        <w:t>）不同投标人的投标文件出现了评标委员会认为不应当雷同的情况的；</w:t>
      </w:r>
    </w:p>
    <w:p w14:paraId="3C493FA3">
      <w:pPr>
        <w:spacing w:line="400" w:lineRule="exact"/>
        <w:ind w:firstLine="420" w:firstLineChars="200"/>
        <w:rPr>
          <w:rFonts w:ascii="宋体"/>
        </w:rPr>
      </w:pPr>
      <w:r>
        <w:rPr>
          <w:rFonts w:hint="eastAsia" w:ascii="宋体" w:hAnsi="宋体" w:cs="宋体"/>
          <w:highlight w:val="white"/>
        </w:rPr>
        <w:t>（</w:t>
      </w:r>
      <w:r>
        <w:rPr>
          <w:rFonts w:ascii="宋体" w:hAnsi="宋体" w:cs="宋体"/>
          <w:highlight w:val="white"/>
        </w:rPr>
        <w:t>4</w:t>
      </w:r>
      <w:r>
        <w:rPr>
          <w:rFonts w:hint="eastAsia" w:ascii="宋体" w:hAnsi="宋体" w:cs="宋体"/>
          <w:highlight w:val="white"/>
        </w:rPr>
        <w:t>）投标人资格条件不符合国家有关规定或招标文件要求的；</w:t>
      </w:r>
    </w:p>
    <w:p w14:paraId="025BC76E">
      <w:pPr>
        <w:adjustRightInd w:val="0"/>
        <w:snapToGrid w:val="0"/>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5</w:t>
      </w:r>
      <w:r>
        <w:rPr>
          <w:rFonts w:hint="eastAsia" w:ascii="宋体" w:hAnsi="宋体" w:cs="宋体"/>
          <w:highlight w:val="white"/>
        </w:rPr>
        <w:t>）明显不符合技术规范、技术标准的要求的；</w:t>
      </w:r>
    </w:p>
    <w:p w14:paraId="6AA43349">
      <w:pPr>
        <w:adjustRightInd w:val="0"/>
        <w:snapToGrid w:val="0"/>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6</w:t>
      </w:r>
      <w:r>
        <w:rPr>
          <w:rFonts w:hint="eastAsia" w:ascii="宋体" w:hAnsi="宋体" w:cs="宋体"/>
          <w:highlight w:val="white"/>
        </w:rPr>
        <w:t>）投标文件载明的货物包装方式、检验标准和方法等不符合招标文件的要求的；</w:t>
      </w:r>
    </w:p>
    <w:p w14:paraId="6AEA114A">
      <w:pPr>
        <w:spacing w:line="400" w:lineRule="exact"/>
        <w:ind w:firstLine="420" w:firstLineChars="200"/>
        <w:rPr>
          <w:rFonts w:ascii="宋体"/>
          <w:highlight w:val="white"/>
        </w:rPr>
      </w:pPr>
      <w:r>
        <w:rPr>
          <w:rFonts w:hint="eastAsia" w:ascii="宋体" w:hAnsi="宋体" w:cs="宋体"/>
          <w:highlight w:val="white"/>
        </w:rPr>
        <w:t>（</w:t>
      </w:r>
      <w:r>
        <w:rPr>
          <w:rFonts w:ascii="宋体" w:hAnsi="宋体" w:cs="宋体"/>
          <w:highlight w:val="white"/>
        </w:rPr>
        <w:t>7</w:t>
      </w:r>
      <w:r>
        <w:rPr>
          <w:rFonts w:hint="eastAsia" w:ascii="宋体" w:hAnsi="宋体" w:cs="宋体"/>
          <w:highlight w:val="white"/>
        </w:rPr>
        <w:t>）投标文件提出了不能满足招标文件要求或招标人不能接受的工程验收、计量、价款结算和支付办法的；</w:t>
      </w:r>
    </w:p>
    <w:p w14:paraId="5B3A896C">
      <w:pPr>
        <w:spacing w:line="400" w:lineRule="exact"/>
        <w:ind w:firstLine="420" w:firstLineChars="200"/>
        <w:rPr>
          <w:rFonts w:ascii="宋体"/>
        </w:rPr>
      </w:pPr>
      <w:r>
        <w:rPr>
          <w:rFonts w:hint="eastAsia" w:ascii="宋体" w:hAnsi="宋体" w:cs="宋体"/>
          <w:highlight w:val="white"/>
        </w:rPr>
        <w:t>（8）投标文件关键内容模糊、无法辩认的</w:t>
      </w:r>
      <w:r>
        <w:rPr>
          <w:rFonts w:hint="eastAsia" w:ascii="宋体" w:hAnsi="宋体" w:cs="宋体"/>
        </w:rPr>
        <w:t>；</w:t>
      </w:r>
    </w:p>
    <w:p w14:paraId="4471B1F3">
      <w:pPr>
        <w:spacing w:line="400" w:lineRule="exact"/>
        <w:ind w:firstLine="525" w:firstLineChars="250"/>
        <w:rPr>
          <w:rFonts w:ascii="宋体"/>
        </w:rPr>
      </w:pPr>
      <w:r>
        <w:rPr>
          <w:rFonts w:ascii="宋体" w:hAnsi="宋体" w:cs="宋体"/>
        </w:rPr>
        <w:t>(</w:t>
      </w:r>
      <w:r>
        <w:rPr>
          <w:rFonts w:hint="eastAsia" w:ascii="宋体" w:hAnsi="宋体" w:cs="宋体"/>
        </w:rPr>
        <w:t>9</w:t>
      </w:r>
      <w:r>
        <w:rPr>
          <w:rFonts w:ascii="宋体" w:hAnsi="宋体" w:cs="宋体"/>
        </w:rPr>
        <w:t>)</w:t>
      </w:r>
      <w:r>
        <w:rPr>
          <w:rFonts w:hint="eastAsia" w:ascii="宋体" w:hAnsi="宋体" w:cs="宋体"/>
        </w:rPr>
        <w:t>投标文件中的投标函未加盖投标人的公章；</w:t>
      </w:r>
    </w:p>
    <w:p w14:paraId="5FE27D68">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0）投标文件中的投标函未加盖企业法定代表人（或企业法定代表人委托代理人）印章（或签字）的；</w:t>
      </w:r>
    </w:p>
    <w:p w14:paraId="63F5E61A">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1）如投标函加盖企业法定代表人委托代理人印章（或签字）的，企业法定代表人委托代理人没有合法、有效的委托书（原件）的；</w:t>
      </w:r>
    </w:p>
    <w:p w14:paraId="1520535B">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2）组成联合体投标未提供联合体各方共同投标协议的；</w:t>
      </w:r>
    </w:p>
    <w:p w14:paraId="42D9A5F9">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3）同一投标人提交两个及以上不同的投标文件或者投标报价，但招标文件要求提交备选投标的除外；</w:t>
      </w:r>
    </w:p>
    <w:p w14:paraId="779B73C9">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4）与招标文件规定的暂估价、暂列金额及甲供材料价格不一致的；</w:t>
      </w:r>
    </w:p>
    <w:p w14:paraId="45AC9687">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5）与招标文件明确列出的不可竞争费用项目或费率或计算基础不一致的；</w:t>
      </w:r>
    </w:p>
    <w:p w14:paraId="688618FD">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6）与招标文件提供的工程量清单中的项目编码、项目名称、项目特征、计量单位、工程量不一致的；</w:t>
      </w:r>
    </w:p>
    <w:p w14:paraId="330CCEE4">
      <w:pPr>
        <w:spacing w:line="400" w:lineRule="exact"/>
        <w:ind w:firstLine="420" w:firstLineChars="200"/>
        <w:rPr>
          <w:rFonts w:ascii="宋体"/>
        </w:rPr>
      </w:pPr>
      <w:r>
        <w:rPr>
          <w:rFonts w:hint="eastAsia" w:ascii="宋体" w:hAnsi="宋体" w:cs="宋体"/>
        </w:rPr>
        <w:t>（</w:t>
      </w:r>
      <w:r>
        <w:rPr>
          <w:rFonts w:ascii="宋体" w:hAnsi="宋体" w:cs="宋体"/>
        </w:rPr>
        <w:t>1</w:t>
      </w:r>
      <w:r>
        <w:rPr>
          <w:rFonts w:hint="eastAsia" w:ascii="宋体" w:hAnsi="宋体" w:cs="宋体"/>
        </w:rPr>
        <w:t>7）未按招标文件要求提供投标保证金的；</w:t>
      </w:r>
    </w:p>
    <w:p w14:paraId="225F2C0E">
      <w:pPr>
        <w:spacing w:line="400" w:lineRule="exact"/>
        <w:ind w:firstLine="420" w:firstLineChars="200"/>
        <w:rPr>
          <w:rFonts w:ascii="宋体"/>
        </w:rPr>
      </w:pPr>
      <w:r>
        <w:rPr>
          <w:rFonts w:hint="eastAsia" w:ascii="宋体" w:hAnsi="宋体" w:cs="宋体"/>
        </w:rPr>
        <w:t>（18）投标文件载明的招标项目完成期限超过招标文件规定的期限的。</w:t>
      </w:r>
    </w:p>
    <w:p w14:paraId="41A0B0D4">
      <w:pPr>
        <w:spacing w:line="400" w:lineRule="exact"/>
        <w:ind w:firstLine="422" w:firstLineChars="200"/>
        <w:rPr>
          <w:rFonts w:ascii="宋体"/>
          <w:sz w:val="28"/>
          <w:szCs w:val="28"/>
        </w:rPr>
      </w:pPr>
      <w:r>
        <w:rPr>
          <w:rFonts w:hint="eastAsia" w:ascii="宋体" w:hAnsi="宋体" w:cs="宋体"/>
          <w:b/>
          <w:bCs/>
        </w:rPr>
        <w:t>注：招标文件未集中单列的无效条款，评标委员会不得作为否决投标、判定无效标的依据。</w:t>
      </w:r>
    </w:p>
    <w:p w14:paraId="16DE1262">
      <w:pPr>
        <w:spacing w:line="400" w:lineRule="exact"/>
        <w:rPr>
          <w:rFonts w:ascii="宋体" w:hAnsi="宋体" w:cs="宋体"/>
          <w:b/>
          <w:bCs/>
          <w:highlight w:val="white"/>
        </w:rPr>
      </w:pPr>
      <w:bookmarkStart w:id="142" w:name="_Toc498006738"/>
      <w:r>
        <w:rPr>
          <w:rFonts w:ascii="宋体" w:hAnsi="宋体" w:cs="宋体"/>
          <w:b/>
          <w:bCs/>
          <w:highlight w:val="white"/>
        </w:rPr>
        <w:t>3.4</w:t>
      </w:r>
      <w:r>
        <w:rPr>
          <w:rFonts w:hint="eastAsia" w:ascii="宋体" w:hAnsi="宋体" w:cs="宋体"/>
          <w:b/>
          <w:bCs/>
          <w:highlight w:val="white"/>
        </w:rPr>
        <w:t>详细评审</w:t>
      </w:r>
      <w:bookmarkEnd w:id="142"/>
    </w:p>
    <w:p w14:paraId="3F5FE2F9">
      <w:pPr>
        <w:spacing w:line="400" w:lineRule="exact"/>
        <w:ind w:firstLine="435"/>
        <w:rPr>
          <w:rFonts w:ascii="宋体"/>
        </w:rPr>
      </w:pPr>
      <w:r>
        <w:rPr>
          <w:rFonts w:ascii="宋体" w:hAnsi="宋体" w:cs="宋体"/>
          <w:highlight w:val="white"/>
        </w:rPr>
        <w:t>3.4.1</w:t>
      </w:r>
      <w:r>
        <w:rPr>
          <w:rFonts w:hint="eastAsia" w:ascii="宋体" w:hAnsi="宋体" w:cs="宋体"/>
          <w:highlight w:val="white"/>
        </w:rPr>
        <w:t>按本章第</w:t>
      </w:r>
      <w:r>
        <w:rPr>
          <w:rFonts w:ascii="宋体" w:hAnsi="宋体" w:cs="宋体"/>
          <w:highlight w:val="white"/>
        </w:rPr>
        <w:t>2.3.2</w:t>
      </w:r>
      <w:r>
        <w:rPr>
          <w:rFonts w:hint="eastAsia" w:ascii="宋体" w:hAnsi="宋体" w:cs="宋体"/>
          <w:highlight w:val="white"/>
        </w:rPr>
        <w:t>规定的方法确定评标基准价。</w:t>
      </w:r>
    </w:p>
    <w:p w14:paraId="69EA1EDF">
      <w:pPr>
        <w:spacing w:line="400" w:lineRule="exact"/>
        <w:ind w:firstLine="435"/>
        <w:rPr>
          <w:rFonts w:ascii="宋体"/>
        </w:rPr>
      </w:pPr>
      <w:r>
        <w:rPr>
          <w:rFonts w:ascii="宋体" w:hAnsi="宋体" w:cs="宋体"/>
        </w:rPr>
        <w:t>3.4.2</w:t>
      </w:r>
      <w:r>
        <w:rPr>
          <w:rFonts w:hint="eastAsia" w:ascii="宋体" w:hAnsi="宋体" w:cs="宋体"/>
        </w:rPr>
        <w:t>评标委员会按本章第</w:t>
      </w:r>
      <w:r>
        <w:rPr>
          <w:rFonts w:ascii="宋体" w:hAnsi="宋体" w:cs="宋体"/>
        </w:rPr>
        <w:t>2.3</w:t>
      </w:r>
      <w:r>
        <w:rPr>
          <w:rFonts w:hint="eastAsia" w:ascii="宋体" w:hAnsi="宋体" w:cs="宋体"/>
        </w:rPr>
        <w:t>.3款规定的量化因素和分值进行打分，并计算出报价得分。</w:t>
      </w:r>
    </w:p>
    <w:p w14:paraId="3C14BC62">
      <w:pPr>
        <w:spacing w:line="400" w:lineRule="exact"/>
        <w:ind w:right="-874" w:rightChars="-416" w:firstLine="420" w:firstLineChars="200"/>
        <w:rPr>
          <w:rFonts w:ascii="宋体"/>
        </w:rPr>
      </w:pPr>
      <w:r>
        <w:rPr>
          <w:rFonts w:ascii="宋体" w:hAnsi="宋体" w:cs="宋体"/>
        </w:rPr>
        <w:t>3.4.3</w:t>
      </w:r>
      <w:r>
        <w:rPr>
          <w:rFonts w:hint="eastAsia" w:ascii="宋体" w:hAnsi="宋体" w:cs="宋体"/>
        </w:rPr>
        <w:t>评分分值计算保留小数点后两位，小数点后第三位“四舍五入”。</w:t>
      </w:r>
    </w:p>
    <w:p w14:paraId="1251F479">
      <w:pPr>
        <w:spacing w:line="400" w:lineRule="exact"/>
        <w:rPr>
          <w:rFonts w:ascii="宋体" w:hAnsi="宋体" w:cs="宋体"/>
          <w:b/>
          <w:bCs/>
          <w:highlight w:val="white"/>
        </w:rPr>
      </w:pPr>
      <w:bookmarkStart w:id="143" w:name="_Toc498006739"/>
      <w:r>
        <w:rPr>
          <w:rFonts w:ascii="宋体" w:hAnsi="宋体" w:cs="宋体"/>
          <w:b/>
          <w:bCs/>
          <w:highlight w:val="white"/>
        </w:rPr>
        <w:t>3.5</w:t>
      </w:r>
      <w:r>
        <w:rPr>
          <w:rFonts w:hint="eastAsia" w:ascii="宋体" w:hAnsi="宋体" w:cs="宋体"/>
          <w:b/>
          <w:bCs/>
          <w:highlight w:val="white"/>
        </w:rPr>
        <w:t>投标文件的澄清和补正</w:t>
      </w:r>
      <w:bookmarkEnd w:id="143"/>
    </w:p>
    <w:p w14:paraId="50977AEC">
      <w:pPr>
        <w:spacing w:line="400" w:lineRule="exact"/>
        <w:ind w:firstLine="420" w:firstLineChars="200"/>
        <w:rPr>
          <w:rFonts w:ascii="宋体"/>
        </w:rPr>
      </w:pPr>
      <w:r>
        <w:rPr>
          <w:rFonts w:ascii="宋体" w:hAnsi="宋体" w:cs="宋体"/>
          <w:highlight w:val="white"/>
        </w:rPr>
        <w:t>3.5.1</w:t>
      </w:r>
      <w:r>
        <w:rPr>
          <w:rFonts w:hint="eastAsia" w:ascii="宋体" w:hAnsi="宋体" w:cs="宋体"/>
          <w:highlight w:val="white"/>
        </w:rPr>
        <w:t>在评标过程中，评标委员会应当以书面形式要求投标人对所提交的投标文件中不明确的内容进行书面澄清或说明。评标委员会不接受投标人主动提出的澄清、说明或补正。</w:t>
      </w:r>
    </w:p>
    <w:p w14:paraId="32FB6E5F">
      <w:pPr>
        <w:spacing w:line="400" w:lineRule="exact"/>
        <w:ind w:firstLine="420" w:firstLineChars="200"/>
        <w:rPr>
          <w:rFonts w:ascii="宋体"/>
        </w:rPr>
      </w:pPr>
      <w:r>
        <w:rPr>
          <w:rFonts w:ascii="宋体" w:hAnsi="宋体" w:cs="宋体"/>
          <w:highlight w:val="white"/>
        </w:rPr>
        <w:t xml:space="preserve">3.5.2 </w:t>
      </w:r>
      <w:r>
        <w:rPr>
          <w:rFonts w:hint="eastAsia" w:ascii="宋体" w:hAnsi="宋体" w:cs="宋体"/>
          <w:highlight w:val="white"/>
        </w:rPr>
        <w:t>澄清、说明和补正不得改变投标文件的实质性内容。投标人的书面澄清、说明和补正属于投标文件的组成部分。</w:t>
      </w:r>
    </w:p>
    <w:p w14:paraId="7A05C101">
      <w:pPr>
        <w:spacing w:line="400" w:lineRule="exact"/>
        <w:ind w:firstLine="420" w:firstLineChars="200"/>
        <w:rPr>
          <w:rFonts w:ascii="宋体"/>
        </w:rPr>
      </w:pPr>
      <w:r>
        <w:rPr>
          <w:rFonts w:ascii="宋体" w:hAnsi="宋体" w:cs="宋体"/>
          <w:highlight w:val="white"/>
        </w:rPr>
        <w:t xml:space="preserve">3.5.3 </w:t>
      </w:r>
      <w:r>
        <w:rPr>
          <w:rFonts w:hint="eastAsia" w:ascii="宋体" w:hAnsi="宋体" w:cs="宋体"/>
          <w:highlight w:val="white"/>
        </w:rPr>
        <w:t>评标委员会对投标人提交的澄清、说明或补正有疑问的，可以要求投标人进一步澄清、说明或补正，直至满足评标委员会的要求。</w:t>
      </w:r>
    </w:p>
    <w:p w14:paraId="51ED63FC">
      <w:pPr>
        <w:spacing w:line="400" w:lineRule="exact"/>
        <w:ind w:firstLine="420" w:firstLineChars="200"/>
        <w:rPr>
          <w:rFonts w:ascii="宋体"/>
        </w:rPr>
      </w:pPr>
      <w:r>
        <w:rPr>
          <w:rFonts w:ascii="宋体" w:hAnsi="宋体" w:cs="宋体"/>
          <w:highlight w:val="white"/>
        </w:rPr>
        <w:t xml:space="preserve">3.5.4 </w:t>
      </w:r>
      <w:r>
        <w:rPr>
          <w:rFonts w:hint="eastAsia" w:ascii="宋体" w:hAnsi="宋体" w:cs="宋体"/>
          <w:highlight w:val="white"/>
        </w:rPr>
        <w:t>在评标过程中，评标委员会发现投标人的报价明显低于其他投标报价，使得其投标报价可能低于其个别成本的，有可能影响质量或者不能诚信履约的，应当要求其在评标现场合理的时间内提供书面说明并提供相关证明材料。投标人不能合理说明或者不能提供相关证明材料的，评标委员会应当否决其投标。</w:t>
      </w:r>
    </w:p>
    <w:p w14:paraId="28A2A04A">
      <w:pPr>
        <w:spacing w:line="400" w:lineRule="exact"/>
        <w:rPr>
          <w:rFonts w:ascii="宋体" w:hAnsi="宋体" w:cs="宋体"/>
          <w:b/>
          <w:bCs/>
          <w:highlight w:val="white"/>
        </w:rPr>
      </w:pPr>
      <w:bookmarkStart w:id="144" w:name="_Toc498006740"/>
      <w:r>
        <w:rPr>
          <w:rFonts w:ascii="宋体" w:hAnsi="宋体" w:cs="宋体"/>
          <w:b/>
          <w:bCs/>
          <w:highlight w:val="white"/>
        </w:rPr>
        <w:t>3.6</w:t>
      </w:r>
      <w:r>
        <w:rPr>
          <w:rFonts w:hint="eastAsia" w:ascii="宋体" w:hAnsi="宋体" w:cs="宋体"/>
          <w:b/>
          <w:bCs/>
          <w:highlight w:val="white"/>
        </w:rPr>
        <w:t>推荐中标候选人</w:t>
      </w:r>
      <w:bookmarkEnd w:id="144"/>
    </w:p>
    <w:p w14:paraId="00A56ED6">
      <w:pPr>
        <w:spacing w:line="400" w:lineRule="exact"/>
        <w:ind w:firstLine="420" w:firstLineChars="200"/>
        <w:rPr>
          <w:rFonts w:ascii="宋体" w:hAnsi="宋体" w:cs="宋体"/>
        </w:rPr>
      </w:pPr>
      <w:r>
        <w:rPr>
          <w:rFonts w:hint="eastAsia" w:ascii="宋体" w:hAnsi="宋体" w:cs="宋体"/>
        </w:rPr>
        <w:t>评标委员会在推荐中标候选人时，应遵照以下原则</w:t>
      </w:r>
      <w:r>
        <w:rPr>
          <w:rFonts w:ascii="宋体" w:hAnsi="宋体" w:cs="宋体"/>
        </w:rPr>
        <w:t>:</w:t>
      </w:r>
    </w:p>
    <w:p w14:paraId="61A755AE">
      <w:pPr>
        <w:spacing w:line="400" w:lineRule="exact"/>
        <w:ind w:firstLine="420" w:firstLineChars="200"/>
      </w:pPr>
      <w:r>
        <w:rPr>
          <w:rFonts w:ascii="宋体" w:hAnsi="宋体" w:cs="宋体"/>
        </w:rPr>
        <w:t>3.6.1</w:t>
      </w:r>
      <w:r>
        <w:rPr>
          <w:rFonts w:hint="eastAsia" w:cs="宋体"/>
          <w:highlight w:val="white"/>
        </w:rPr>
        <w:t>评标委员会按照报价得分由高至低的次序排列，推荐</w:t>
      </w:r>
      <w:r>
        <w:rPr>
          <w:highlight w:val="white"/>
        </w:rPr>
        <w:t>1-3</w:t>
      </w:r>
      <w:r>
        <w:rPr>
          <w:rFonts w:hint="eastAsia" w:cs="宋体"/>
          <w:highlight w:val="white"/>
        </w:rPr>
        <w:t>名中标候选人，确定报价得分最高的为第一中标候选人（若报价得分相同，则以报价低的为第一中标候选人；如报价也相同，则系统抽签确定第一中标候选人）。</w:t>
      </w:r>
    </w:p>
    <w:p w14:paraId="30926B87">
      <w:pPr>
        <w:spacing w:line="400" w:lineRule="exact"/>
        <w:ind w:firstLine="420" w:firstLineChars="200"/>
        <w:rPr>
          <w:rFonts w:ascii="宋体"/>
        </w:rPr>
      </w:pPr>
      <w:r>
        <w:rPr>
          <w:rFonts w:ascii="宋体" w:hAnsi="宋体" w:cs="宋体"/>
        </w:rPr>
        <w:t>3.6.2</w:t>
      </w:r>
      <w:r>
        <w:rPr>
          <w:rFonts w:hint="eastAsia" w:ascii="宋体" w:hAnsi="宋体" w:cs="宋体"/>
        </w:rPr>
        <w:t>如果评标委员会根据本章的规定作无效标处理后，有效投标不足三个，评标委员会应当对是否具有竞争性进行判断：有竞争性的，按有效投标报价得分由高至低的次序推荐中标候选人；缺乏竞争的，评标委员会应当否决全部投标。</w:t>
      </w:r>
    </w:p>
    <w:p w14:paraId="0FEFC7F3">
      <w:pPr>
        <w:spacing w:line="400" w:lineRule="exact"/>
        <w:ind w:firstLine="420" w:firstLineChars="200"/>
        <w:rPr>
          <w:rFonts w:ascii="宋体"/>
        </w:rPr>
      </w:pPr>
      <w:r>
        <w:rPr>
          <w:rFonts w:ascii="宋体" w:hAnsi="宋体" w:cs="宋体"/>
        </w:rPr>
        <w:t>3.6</w:t>
      </w:r>
      <w:r>
        <w:rPr>
          <w:rFonts w:ascii="宋体" w:cs="宋体"/>
        </w:rPr>
        <w:t>.</w:t>
      </w:r>
      <w:r>
        <w:rPr>
          <w:rFonts w:ascii="宋体" w:hAnsi="宋体" w:cs="宋体"/>
        </w:rPr>
        <w:t xml:space="preserve">3 </w:t>
      </w:r>
      <w:r>
        <w:rPr>
          <w:rFonts w:hint="eastAsia" w:ascii="宋体" w:hAnsi="宋体" w:cs="宋体"/>
        </w:rPr>
        <w:t>评标委员会完成评标后，应当向招标人提交评标报告。</w:t>
      </w:r>
    </w:p>
    <w:p w14:paraId="0DEB1CFA">
      <w:pPr>
        <w:spacing w:line="420" w:lineRule="exact"/>
        <w:ind w:firstLine="420" w:firstLineChars="200"/>
        <w:rPr>
          <w:rFonts w:ascii="宋体"/>
        </w:rPr>
      </w:pPr>
    </w:p>
    <w:p w14:paraId="12777D5C">
      <w:pPr>
        <w:spacing w:line="420" w:lineRule="exact"/>
        <w:ind w:firstLine="420" w:firstLineChars="200"/>
        <w:rPr>
          <w:rFonts w:ascii="宋体"/>
        </w:rPr>
      </w:pPr>
    </w:p>
    <w:p w14:paraId="0D1A23C4">
      <w:pPr>
        <w:spacing w:line="420" w:lineRule="exact"/>
        <w:ind w:firstLine="420" w:firstLineChars="200"/>
        <w:rPr>
          <w:rFonts w:ascii="宋体"/>
        </w:rPr>
      </w:pPr>
    </w:p>
    <w:p w14:paraId="351A25A2">
      <w:pPr>
        <w:spacing w:line="420" w:lineRule="exact"/>
        <w:ind w:firstLine="420" w:firstLineChars="200"/>
        <w:rPr>
          <w:rFonts w:ascii="宋体"/>
        </w:rPr>
      </w:pPr>
    </w:p>
    <w:p w14:paraId="62F2F2D5">
      <w:pPr>
        <w:spacing w:line="420" w:lineRule="exact"/>
        <w:ind w:firstLine="420" w:firstLineChars="200"/>
        <w:rPr>
          <w:rFonts w:ascii="宋体"/>
        </w:rPr>
      </w:pPr>
    </w:p>
    <w:p w14:paraId="3F6E357A">
      <w:pPr>
        <w:spacing w:line="420" w:lineRule="exact"/>
        <w:ind w:firstLine="420" w:firstLineChars="200"/>
        <w:rPr>
          <w:rFonts w:ascii="宋体"/>
        </w:rPr>
      </w:pPr>
    </w:p>
    <w:p w14:paraId="5340828C">
      <w:pPr>
        <w:spacing w:line="420" w:lineRule="exact"/>
        <w:ind w:firstLine="420" w:firstLineChars="200"/>
        <w:rPr>
          <w:rFonts w:ascii="宋体"/>
        </w:rPr>
      </w:pPr>
    </w:p>
    <w:p w14:paraId="0A785B03">
      <w:pPr>
        <w:spacing w:line="420" w:lineRule="exact"/>
        <w:ind w:firstLine="420" w:firstLineChars="200"/>
        <w:rPr>
          <w:rFonts w:ascii="宋体"/>
        </w:rPr>
      </w:pPr>
    </w:p>
    <w:p w14:paraId="7B574B6F">
      <w:pPr>
        <w:spacing w:line="420" w:lineRule="exact"/>
        <w:ind w:firstLine="420" w:firstLineChars="200"/>
        <w:rPr>
          <w:rFonts w:ascii="宋体"/>
        </w:rPr>
      </w:pPr>
    </w:p>
    <w:p w14:paraId="4E3C9C7E">
      <w:pPr>
        <w:spacing w:line="420" w:lineRule="exact"/>
        <w:ind w:firstLine="420" w:firstLineChars="200"/>
        <w:rPr>
          <w:rFonts w:ascii="宋体"/>
        </w:rPr>
      </w:pPr>
    </w:p>
    <w:p w14:paraId="3A111DC9">
      <w:pPr>
        <w:spacing w:line="420" w:lineRule="exact"/>
        <w:ind w:firstLine="420" w:firstLineChars="200"/>
        <w:rPr>
          <w:rFonts w:ascii="宋体"/>
        </w:rPr>
      </w:pPr>
    </w:p>
    <w:p w14:paraId="33AE0BEB">
      <w:pPr>
        <w:spacing w:line="420" w:lineRule="exact"/>
        <w:ind w:firstLine="420" w:firstLineChars="200"/>
        <w:rPr>
          <w:rFonts w:ascii="宋体"/>
        </w:rPr>
      </w:pPr>
    </w:p>
    <w:p w14:paraId="46A1F993">
      <w:pPr>
        <w:spacing w:line="420" w:lineRule="exact"/>
        <w:ind w:firstLine="420" w:firstLineChars="200"/>
        <w:rPr>
          <w:rFonts w:ascii="宋体"/>
        </w:rPr>
      </w:pPr>
    </w:p>
    <w:p w14:paraId="065408BF">
      <w:pPr>
        <w:spacing w:line="420" w:lineRule="exact"/>
        <w:ind w:firstLine="420" w:firstLineChars="200"/>
        <w:rPr>
          <w:rFonts w:ascii="宋体"/>
        </w:rPr>
      </w:pPr>
    </w:p>
    <w:p w14:paraId="4FC9D1B6">
      <w:pPr>
        <w:spacing w:line="420" w:lineRule="exact"/>
        <w:ind w:firstLine="420" w:firstLineChars="200"/>
        <w:rPr>
          <w:rFonts w:ascii="宋体"/>
        </w:rPr>
      </w:pPr>
    </w:p>
    <w:p w14:paraId="306335D4">
      <w:pPr>
        <w:spacing w:line="420" w:lineRule="exact"/>
        <w:ind w:firstLine="420" w:firstLineChars="200"/>
        <w:rPr>
          <w:rFonts w:ascii="宋体"/>
        </w:rPr>
      </w:pPr>
    </w:p>
    <w:p w14:paraId="557B8276">
      <w:pPr>
        <w:spacing w:line="420" w:lineRule="exact"/>
        <w:ind w:firstLine="420" w:firstLineChars="200"/>
        <w:rPr>
          <w:rFonts w:ascii="宋体"/>
        </w:rPr>
      </w:pPr>
    </w:p>
    <w:p w14:paraId="5F792AC2">
      <w:pPr>
        <w:spacing w:line="420" w:lineRule="exact"/>
        <w:ind w:firstLine="420" w:firstLineChars="200"/>
        <w:rPr>
          <w:rFonts w:ascii="宋体"/>
        </w:rPr>
      </w:pPr>
    </w:p>
    <w:p w14:paraId="167E2BB6">
      <w:pPr>
        <w:spacing w:line="420" w:lineRule="exact"/>
        <w:ind w:firstLine="420" w:firstLineChars="200"/>
        <w:rPr>
          <w:rFonts w:ascii="宋体"/>
        </w:rPr>
      </w:pPr>
    </w:p>
    <w:p w14:paraId="0CCD24DF">
      <w:pPr>
        <w:spacing w:line="420" w:lineRule="exact"/>
        <w:ind w:firstLine="420" w:firstLineChars="200"/>
        <w:rPr>
          <w:rFonts w:ascii="宋体"/>
        </w:rPr>
      </w:pPr>
    </w:p>
    <w:p w14:paraId="31359CA1">
      <w:pPr>
        <w:spacing w:line="420" w:lineRule="exact"/>
        <w:ind w:firstLine="420" w:firstLineChars="200"/>
        <w:rPr>
          <w:rFonts w:ascii="宋体"/>
        </w:rPr>
      </w:pPr>
    </w:p>
    <w:p w14:paraId="45865304">
      <w:pPr>
        <w:pStyle w:val="2"/>
        <w:numPr>
          <w:ilvl w:val="0"/>
          <w:numId w:val="1"/>
        </w:numPr>
        <w:spacing w:line="240" w:lineRule="auto"/>
        <w:jc w:val="center"/>
        <w:rPr>
          <w:rFonts w:ascii="宋体" w:hAnsi="宋体" w:eastAsia="宋体"/>
          <w:sz w:val="36"/>
          <w:szCs w:val="36"/>
        </w:rPr>
      </w:pPr>
      <w:r>
        <w:rPr>
          <w:rFonts w:hint="eastAsia" w:ascii="宋体" w:hAnsi="宋体" w:eastAsia="宋体" w:cs="宋体"/>
          <w:sz w:val="36"/>
          <w:szCs w:val="36"/>
        </w:rPr>
        <w:t>合同条款及格式</w:t>
      </w:r>
      <w:bookmarkEnd w:id="132"/>
      <w:bookmarkStart w:id="145" w:name="_Toc498006748"/>
      <w:bookmarkStart w:id="146" w:name="_Toc358569763"/>
    </w:p>
    <w:p w14:paraId="18AC33D7">
      <w:pPr>
        <w:spacing w:line="400" w:lineRule="exact"/>
        <w:jc w:val="center"/>
        <w:rPr>
          <w:rFonts w:ascii="宋体" w:hAnsi="宋体"/>
          <w:b/>
          <w:bCs/>
          <w:color w:val="000000"/>
          <w:sz w:val="28"/>
          <w:szCs w:val="24"/>
        </w:rPr>
      </w:pPr>
      <w:r>
        <w:rPr>
          <w:rFonts w:hint="eastAsia" w:ascii="宋体" w:hAnsi="宋体"/>
          <w:b/>
          <w:bCs/>
          <w:color w:val="000000"/>
          <w:sz w:val="28"/>
          <w:szCs w:val="24"/>
        </w:rPr>
        <w:t>第一节　协议书</w:t>
      </w:r>
    </w:p>
    <w:p w14:paraId="1B59EA84">
      <w:pPr>
        <w:spacing w:line="400" w:lineRule="exact"/>
        <w:ind w:firstLine="420" w:firstLineChars="200"/>
        <w:rPr>
          <w:rFonts w:ascii="宋体" w:hAnsi="宋体"/>
          <w:color w:val="000000"/>
        </w:rPr>
      </w:pPr>
      <w:r>
        <w:rPr>
          <w:rFonts w:hint="eastAsia" w:ascii="宋体" w:hAnsi="宋体"/>
          <w:color w:val="000000"/>
        </w:rPr>
        <w:t>发包人</w:t>
      </w:r>
      <w:r>
        <w:rPr>
          <w:rFonts w:ascii="宋体" w:hAnsi="宋体"/>
          <w:color w:val="000000"/>
        </w:rPr>
        <w:t>(</w:t>
      </w:r>
      <w:r>
        <w:rPr>
          <w:rFonts w:hint="eastAsia" w:ascii="宋体" w:hAnsi="宋体"/>
          <w:color w:val="000000"/>
        </w:rPr>
        <w:t>全称)：</w:t>
      </w:r>
    </w:p>
    <w:p w14:paraId="745329CD">
      <w:pPr>
        <w:spacing w:line="400" w:lineRule="exact"/>
        <w:ind w:firstLine="420" w:firstLineChars="200"/>
        <w:rPr>
          <w:rFonts w:ascii="宋体" w:hAnsi="宋体"/>
          <w:color w:val="000000"/>
        </w:rPr>
      </w:pPr>
      <w:r>
        <w:rPr>
          <w:rFonts w:hint="eastAsia" w:ascii="宋体" w:hAnsi="宋体"/>
          <w:color w:val="000000"/>
        </w:rPr>
        <w:t>承包人</w:t>
      </w:r>
      <w:r>
        <w:rPr>
          <w:rFonts w:ascii="宋体" w:hAnsi="宋体"/>
          <w:color w:val="000000"/>
        </w:rPr>
        <w:t>(</w:t>
      </w:r>
      <w:r>
        <w:rPr>
          <w:rFonts w:hint="eastAsia" w:ascii="宋体" w:hAnsi="宋体"/>
          <w:color w:val="000000"/>
        </w:rPr>
        <w:t>全称</w:t>
      </w:r>
      <w:r>
        <w:rPr>
          <w:rFonts w:ascii="宋体" w:hAnsi="宋体"/>
          <w:color w:val="000000"/>
        </w:rPr>
        <w:t>)</w:t>
      </w:r>
      <w:r>
        <w:rPr>
          <w:rFonts w:hint="eastAsia" w:ascii="宋体" w:hAnsi="宋体"/>
          <w:color w:val="000000"/>
        </w:rPr>
        <w:t>：</w:t>
      </w:r>
    </w:p>
    <w:p w14:paraId="60EA1B6E">
      <w:pPr>
        <w:spacing w:line="400" w:lineRule="exact"/>
        <w:ind w:firstLine="420" w:firstLineChars="200"/>
        <w:rPr>
          <w:rFonts w:ascii="宋体" w:hAnsi="宋体"/>
          <w:color w:val="000000"/>
        </w:rPr>
      </w:pPr>
      <w:r>
        <w:rPr>
          <w:rFonts w:hint="eastAsia" w:ascii="宋体" w:hAnsi="宋体"/>
          <w:color w:val="000000"/>
        </w:rPr>
        <w:t>依照《中华人民共和国民法典》及其他有关法律、行政法规，遵循平等、自愿、公平和诚实信用的原则，双方就本建设工程施工事项协商一致，订立本合同。</w:t>
      </w:r>
    </w:p>
    <w:p w14:paraId="3B29DB53">
      <w:pPr>
        <w:spacing w:line="400" w:lineRule="exact"/>
        <w:ind w:firstLine="422" w:firstLineChars="200"/>
        <w:rPr>
          <w:rFonts w:ascii="宋体" w:hAnsi="宋体"/>
          <w:b/>
          <w:color w:val="000000"/>
        </w:rPr>
      </w:pPr>
      <w:r>
        <w:rPr>
          <w:rFonts w:hint="eastAsia" w:ascii="宋体" w:hAnsi="宋体"/>
          <w:b/>
          <w:color w:val="000000"/>
        </w:rPr>
        <w:t>1、工程概况</w:t>
      </w:r>
    </w:p>
    <w:p w14:paraId="4B03B8F5">
      <w:pPr>
        <w:spacing w:line="400" w:lineRule="exact"/>
        <w:ind w:firstLine="420" w:firstLineChars="200"/>
        <w:rPr>
          <w:rFonts w:hint="eastAsia" w:ascii="宋体" w:hAnsi="宋体" w:cs="宋体"/>
          <w:b/>
          <w:bCs/>
          <w:sz w:val="21"/>
          <w:szCs w:val="21"/>
          <w:highlight w:val="none"/>
          <w:u w:val="single"/>
          <w:lang w:val="en-US" w:eastAsia="zh-CN"/>
        </w:rPr>
      </w:pPr>
      <w:r>
        <w:rPr>
          <w:rFonts w:hint="eastAsia" w:ascii="宋体" w:hAnsi="宋体"/>
          <w:color w:val="000000"/>
        </w:rPr>
        <w:t>工程名称</w:t>
      </w:r>
      <w:r>
        <w:rPr>
          <w:rFonts w:hint="eastAsia" w:ascii="宋体" w:hAnsi="宋体"/>
          <w:color w:val="000000"/>
          <w:highlight w:val="none"/>
        </w:rPr>
        <w:t>：</w:t>
      </w:r>
      <w:r>
        <w:rPr>
          <w:rFonts w:hint="eastAsia" w:ascii="宋体" w:hAnsi="宋体" w:cs="宋体"/>
          <w:b/>
          <w:bCs/>
          <w:sz w:val="21"/>
          <w:szCs w:val="21"/>
          <w:highlight w:val="none"/>
          <w:u w:val="single"/>
          <w:lang w:val="en-US" w:eastAsia="zh-CN"/>
        </w:rPr>
        <w:t>西站大道二期给水工程海星电子厂区段顶管专业分包项目</w:t>
      </w:r>
    </w:p>
    <w:p w14:paraId="45C5B33C">
      <w:pPr>
        <w:adjustRightInd w:val="0"/>
        <w:snapToGrid w:val="0"/>
        <w:spacing w:line="360" w:lineRule="exact"/>
        <w:ind w:firstLine="422" w:firstLineChars="201"/>
        <w:rPr>
          <w:rFonts w:ascii="宋体" w:hAnsi="宋体"/>
          <w:color w:val="000000"/>
          <w:highlight w:val="none"/>
          <w:u w:val="single"/>
        </w:rPr>
      </w:pPr>
      <w:r>
        <w:rPr>
          <w:rFonts w:hint="eastAsia" w:ascii="宋体" w:hAnsi="宋体"/>
          <w:color w:val="000000"/>
          <w:highlight w:val="none"/>
        </w:rPr>
        <w:t>工程地点：西站大道二期给水工程海星电子厂区段。</w:t>
      </w:r>
    </w:p>
    <w:p w14:paraId="1C99C299">
      <w:pPr>
        <w:spacing w:line="400" w:lineRule="exact"/>
        <w:ind w:firstLine="420" w:firstLineChars="200"/>
        <w:rPr>
          <w:rFonts w:ascii="宋体" w:hAnsi="宋体"/>
          <w:color w:val="000000"/>
          <w:highlight w:val="none"/>
          <w:u w:val="single"/>
        </w:rPr>
      </w:pPr>
      <w:r>
        <w:rPr>
          <w:rFonts w:hint="eastAsia" w:ascii="宋体" w:hAnsi="宋体"/>
          <w:color w:val="000000"/>
          <w:highlight w:val="none"/>
        </w:rPr>
        <w:t>工程内容：</w:t>
      </w:r>
      <w:r>
        <w:rPr>
          <w:rFonts w:hint="eastAsia" w:ascii="宋体" w:hAnsi="宋体" w:cs="宋体"/>
          <w:highlight w:val="none"/>
        </w:rPr>
        <w:t>西站大道二期给水工程海星电子厂区段顶管</w:t>
      </w:r>
      <w:r>
        <w:rPr>
          <w:rFonts w:hint="eastAsia" w:ascii="宋体" w:hAnsi="宋体" w:cs="宋体"/>
          <w:highlight w:val="none"/>
          <w:lang w:val="en-US" w:eastAsia="zh-CN"/>
        </w:rPr>
        <w:t>施工</w:t>
      </w:r>
      <w:r>
        <w:rPr>
          <w:rFonts w:hint="eastAsia" w:ascii="宋体" w:hAnsi="宋体" w:cs="宋体"/>
          <w:highlight w:val="none"/>
        </w:rPr>
        <w:t>（含钢管两侧对拢）</w:t>
      </w:r>
    </w:p>
    <w:p w14:paraId="524F0FB7">
      <w:pPr>
        <w:spacing w:line="400" w:lineRule="exact"/>
        <w:ind w:firstLine="420" w:firstLineChars="200"/>
        <w:rPr>
          <w:rFonts w:ascii="宋体" w:hAnsi="宋体"/>
          <w:color w:val="000000"/>
          <w:highlight w:val="none"/>
          <w:u w:val="single"/>
        </w:rPr>
      </w:pPr>
      <w:r>
        <w:rPr>
          <w:rFonts w:hint="eastAsia" w:ascii="宋体" w:hAnsi="宋体"/>
          <w:color w:val="000000"/>
          <w:highlight w:val="none"/>
        </w:rPr>
        <w:t>资金来源：</w:t>
      </w:r>
    </w:p>
    <w:p w14:paraId="0CE90ABF">
      <w:pPr>
        <w:spacing w:line="400" w:lineRule="exact"/>
        <w:ind w:firstLine="422" w:firstLineChars="200"/>
        <w:rPr>
          <w:rFonts w:ascii="宋体" w:hAnsi="宋体"/>
          <w:b/>
          <w:color w:val="000000"/>
          <w:highlight w:val="none"/>
        </w:rPr>
      </w:pPr>
      <w:r>
        <w:rPr>
          <w:rFonts w:hint="eastAsia" w:ascii="宋体" w:hAnsi="宋体"/>
          <w:b/>
          <w:color w:val="000000"/>
          <w:highlight w:val="none"/>
        </w:rPr>
        <w:t>2、工程承包范围</w:t>
      </w:r>
    </w:p>
    <w:p w14:paraId="75184B44">
      <w:pPr>
        <w:spacing w:line="400" w:lineRule="exact"/>
        <w:ind w:firstLine="420" w:firstLineChars="200"/>
        <w:rPr>
          <w:rFonts w:ascii="宋体" w:hAnsi="宋体"/>
          <w:color w:val="000000"/>
          <w:u w:val="single"/>
        </w:rPr>
      </w:pPr>
      <w:r>
        <w:rPr>
          <w:rFonts w:hint="eastAsia" w:ascii="宋体" w:hAnsi="宋体"/>
          <w:color w:val="000000"/>
        </w:rPr>
        <w:t>承包范围：</w:t>
      </w:r>
      <w:r>
        <w:rPr>
          <w:rFonts w:hint="eastAsia" w:ascii="宋体" w:hAnsi="宋体"/>
          <w:color w:val="000000"/>
          <w:u w:val="single"/>
        </w:rPr>
        <w:t>招标文件、施工图所含全部内容。</w:t>
      </w:r>
    </w:p>
    <w:p w14:paraId="15C47443">
      <w:pPr>
        <w:spacing w:line="400" w:lineRule="exact"/>
        <w:ind w:firstLine="422" w:firstLineChars="200"/>
        <w:rPr>
          <w:rFonts w:ascii="宋体" w:hAnsi="宋体"/>
          <w:b/>
          <w:color w:val="000000"/>
        </w:rPr>
      </w:pPr>
      <w:r>
        <w:rPr>
          <w:rFonts w:hint="eastAsia" w:ascii="宋体" w:hAnsi="宋体"/>
          <w:b/>
          <w:color w:val="000000"/>
        </w:rPr>
        <w:t>3、合同工期</w:t>
      </w:r>
    </w:p>
    <w:p w14:paraId="312A6AC0">
      <w:pPr>
        <w:spacing w:line="400" w:lineRule="exact"/>
        <w:ind w:firstLine="420" w:firstLineChars="200"/>
        <w:rPr>
          <w:rFonts w:ascii="宋体" w:hAnsi="宋体"/>
          <w:color w:val="000000"/>
        </w:rPr>
      </w:pPr>
      <w:r>
        <w:rPr>
          <w:rFonts w:hint="eastAsia" w:ascii="宋体" w:hAnsi="宋体"/>
          <w:color w:val="000000"/>
        </w:rPr>
        <w:t>开工日期：</w:t>
      </w:r>
      <w:r>
        <w:rPr>
          <w:rFonts w:hint="eastAsia" w:ascii="宋体" w:hAnsi="宋体"/>
          <w:color w:val="000000"/>
          <w:u w:val="single"/>
        </w:rPr>
        <w:t xml:space="preserve"> </w:t>
      </w:r>
      <w:r>
        <w:rPr>
          <w:rFonts w:hint="eastAsia" w:ascii="宋体" w:hAnsi="宋体"/>
          <w:color w:val="000000"/>
          <w:u w:val="single"/>
          <w:lang w:val="en-US" w:eastAsia="zh-CN"/>
        </w:rPr>
        <w:t xml:space="preserve">   </w:t>
      </w:r>
      <w:r>
        <w:rPr>
          <w:rFonts w:hint="eastAsia" w:ascii="宋体" w:hAnsi="宋体"/>
          <w:color w:val="000000"/>
        </w:rPr>
        <w:t>年  月  日，竣工日期：</w:t>
      </w:r>
      <w:r>
        <w:rPr>
          <w:rFonts w:hint="eastAsia" w:ascii="宋体" w:hAnsi="宋体"/>
          <w:color w:val="000000"/>
          <w:u w:val="single"/>
        </w:rPr>
        <w:t xml:space="preserve"> </w:t>
      </w:r>
      <w:r>
        <w:rPr>
          <w:rFonts w:hint="eastAsia" w:ascii="宋体" w:hAnsi="宋体"/>
          <w:color w:val="000000"/>
          <w:u w:val="single"/>
          <w:lang w:val="en-US" w:eastAsia="zh-CN"/>
        </w:rPr>
        <w:t xml:space="preserve">  </w:t>
      </w:r>
      <w:r>
        <w:rPr>
          <w:rFonts w:hint="eastAsia" w:ascii="宋体" w:hAnsi="宋体"/>
          <w:color w:val="000000"/>
        </w:rPr>
        <w:t>年  月  日（以确定为中标单位之日起），合同工期总日历天数</w:t>
      </w:r>
      <w:r>
        <w:rPr>
          <w:rFonts w:hint="eastAsia" w:ascii="宋体" w:hAnsi="宋体"/>
          <w:color w:val="000000"/>
          <w:u w:val="single"/>
          <w:lang w:val="en-US" w:eastAsia="zh-CN"/>
        </w:rPr>
        <w:t>150</w:t>
      </w:r>
      <w:r>
        <w:rPr>
          <w:rFonts w:hint="eastAsia" w:ascii="宋体" w:hAnsi="宋体"/>
          <w:color w:val="000000"/>
          <w:u w:val="single"/>
        </w:rPr>
        <w:t>日历</w:t>
      </w:r>
      <w:r>
        <w:rPr>
          <w:rFonts w:hint="eastAsia" w:ascii="宋体" w:hAnsi="宋体"/>
          <w:color w:val="000000"/>
        </w:rPr>
        <w:t>天（含不可预知的停工、阻工时间，不或抗力引起的延期除外），并以工程合同价的4%作为工期保证金。</w:t>
      </w:r>
    </w:p>
    <w:p w14:paraId="7F931AD7">
      <w:pPr>
        <w:spacing w:line="400" w:lineRule="exact"/>
        <w:ind w:firstLine="422" w:firstLineChars="200"/>
        <w:rPr>
          <w:rFonts w:ascii="宋体" w:hAnsi="宋体"/>
          <w:b/>
          <w:bCs/>
          <w:color w:val="000000"/>
        </w:rPr>
      </w:pPr>
      <w:r>
        <w:rPr>
          <w:rFonts w:hint="eastAsia" w:ascii="宋体" w:hAnsi="宋体"/>
          <w:b/>
          <w:bCs/>
          <w:color w:val="000000"/>
        </w:rPr>
        <w:t>4.质量标准</w:t>
      </w:r>
    </w:p>
    <w:p w14:paraId="3F4EFD20">
      <w:pPr>
        <w:spacing w:line="400" w:lineRule="exact"/>
        <w:ind w:firstLine="420" w:firstLineChars="200"/>
        <w:rPr>
          <w:rFonts w:ascii="宋体" w:hAnsi="宋体"/>
          <w:color w:val="000000"/>
        </w:rPr>
      </w:pPr>
      <w:r>
        <w:rPr>
          <w:rFonts w:hint="eastAsia" w:ascii="宋体" w:hAnsi="宋体"/>
          <w:color w:val="000000"/>
        </w:rPr>
        <w:t>工程质量标准：</w:t>
      </w:r>
      <w:r>
        <w:rPr>
          <w:rFonts w:hint="eastAsia" w:ascii="宋体" w:hAnsi="宋体"/>
          <w:color w:val="000000"/>
          <w:u w:val="single"/>
        </w:rPr>
        <w:t>符合GB50268-2008等规范，质量等级：验收合格。</w:t>
      </w:r>
    </w:p>
    <w:p w14:paraId="404DD170">
      <w:pPr>
        <w:tabs>
          <w:tab w:val="left" w:pos="2430"/>
        </w:tabs>
        <w:spacing w:line="400" w:lineRule="exact"/>
        <w:ind w:firstLine="422" w:firstLineChars="200"/>
        <w:rPr>
          <w:rFonts w:ascii="宋体" w:hAnsi="宋体"/>
          <w:b/>
          <w:color w:val="000000"/>
        </w:rPr>
      </w:pPr>
      <w:r>
        <w:rPr>
          <w:rFonts w:hint="eastAsia" w:ascii="宋体" w:hAnsi="宋体"/>
          <w:b/>
          <w:color w:val="000000"/>
        </w:rPr>
        <w:t>5、合同价款</w:t>
      </w:r>
      <w:r>
        <w:rPr>
          <w:rFonts w:ascii="宋体" w:hAnsi="宋体"/>
          <w:b/>
          <w:color w:val="000000"/>
        </w:rPr>
        <w:tab/>
      </w:r>
    </w:p>
    <w:p w14:paraId="67B95FE6">
      <w:pPr>
        <w:spacing w:line="400" w:lineRule="exact"/>
        <w:ind w:firstLine="420" w:firstLineChars="200"/>
        <w:rPr>
          <w:rFonts w:ascii="宋体" w:hAnsi="宋体"/>
          <w:color w:val="000000"/>
          <w:u w:val="single"/>
        </w:rPr>
      </w:pPr>
      <w:r>
        <w:rPr>
          <w:rFonts w:hint="eastAsia" w:ascii="宋体" w:hAnsi="宋体"/>
          <w:color w:val="000000"/>
        </w:rPr>
        <w:t>金额</w:t>
      </w:r>
      <w:r>
        <w:rPr>
          <w:rFonts w:ascii="宋体" w:hAnsi="宋体"/>
          <w:color w:val="000000"/>
        </w:rPr>
        <w:t>(</w:t>
      </w:r>
      <w:r>
        <w:rPr>
          <w:rFonts w:hint="eastAsia" w:ascii="宋体" w:hAnsi="宋体"/>
          <w:color w:val="000000"/>
        </w:rPr>
        <w:t>大写</w:t>
      </w:r>
      <w:r>
        <w:rPr>
          <w:rFonts w:ascii="宋体" w:hAnsi="宋体"/>
          <w:color w:val="000000"/>
        </w:rPr>
        <w:t>)</w:t>
      </w:r>
      <w:r>
        <w:rPr>
          <w:rFonts w:hint="eastAsia" w:ascii="宋体" w:hAnsi="宋体"/>
          <w:color w:val="000000"/>
        </w:rPr>
        <w:t>:</w:t>
      </w:r>
      <w:r>
        <w:rPr>
          <w:rFonts w:hint="eastAsia" w:ascii="宋体" w:hAnsi="宋体"/>
          <w:color w:val="000000"/>
          <w:u w:val="single"/>
        </w:rPr>
        <w:t xml:space="preserve">                                     （人民币）</w:t>
      </w:r>
    </w:p>
    <w:p w14:paraId="49D6DD9B">
      <w:pPr>
        <w:spacing w:line="400" w:lineRule="exact"/>
        <w:ind w:firstLine="420" w:firstLineChars="200"/>
        <w:rPr>
          <w:rFonts w:ascii="宋体" w:hAnsi="宋体"/>
          <w:color w:val="000000"/>
          <w:u w:val="single"/>
        </w:rPr>
      </w:pPr>
      <w:r>
        <w:rPr>
          <w:rFonts w:hint="eastAsia" w:ascii="宋体" w:hAnsi="宋体"/>
          <w:color w:val="000000"/>
        </w:rPr>
        <w:t xml:space="preserve">    (小写):</w:t>
      </w:r>
    </w:p>
    <w:p w14:paraId="5157F221">
      <w:pPr>
        <w:spacing w:line="400" w:lineRule="exact"/>
        <w:ind w:firstLine="422" w:firstLineChars="200"/>
        <w:rPr>
          <w:rFonts w:ascii="宋体" w:hAnsi="宋体"/>
          <w:b/>
          <w:color w:val="000000"/>
        </w:rPr>
      </w:pPr>
      <w:r>
        <w:rPr>
          <w:rFonts w:hint="eastAsia" w:ascii="宋体" w:hAnsi="宋体"/>
          <w:b/>
          <w:color w:val="000000"/>
        </w:rPr>
        <w:t>6、组成合同的文件</w:t>
      </w:r>
    </w:p>
    <w:p w14:paraId="1ED80D6C">
      <w:pPr>
        <w:spacing w:line="400" w:lineRule="exact"/>
        <w:ind w:firstLine="420" w:firstLineChars="200"/>
        <w:rPr>
          <w:rFonts w:ascii="宋体" w:hAnsi="宋体"/>
          <w:color w:val="000000"/>
        </w:rPr>
      </w:pPr>
      <w:r>
        <w:rPr>
          <w:rFonts w:hint="eastAsia" w:ascii="宋体" w:hAnsi="宋体"/>
          <w:color w:val="000000"/>
        </w:rPr>
        <w:t>6.1组成本合同的文件包括：</w:t>
      </w:r>
    </w:p>
    <w:p w14:paraId="66FDC76A">
      <w:pPr>
        <w:spacing w:line="400" w:lineRule="exact"/>
        <w:ind w:right="-420" w:rightChars="-200" w:firstLine="420" w:firstLineChars="200"/>
        <w:rPr>
          <w:rFonts w:ascii="宋体" w:hAnsi="宋体"/>
          <w:color w:val="000000"/>
        </w:rPr>
      </w:pPr>
      <w:r>
        <w:rPr>
          <w:rFonts w:hint="eastAsia" w:ascii="宋体" w:hAnsi="宋体"/>
          <w:color w:val="000000"/>
        </w:rPr>
        <w:t>（1）本合同协议书</w:t>
      </w:r>
    </w:p>
    <w:p w14:paraId="73033B2D">
      <w:pPr>
        <w:spacing w:line="400" w:lineRule="exact"/>
        <w:ind w:right="-420" w:rightChars="-200" w:firstLine="420" w:firstLineChars="200"/>
        <w:rPr>
          <w:rFonts w:ascii="宋体" w:hAnsi="宋体"/>
          <w:color w:val="000000"/>
        </w:rPr>
      </w:pPr>
      <w:r>
        <w:rPr>
          <w:rFonts w:hint="eastAsia" w:ascii="宋体" w:hAnsi="宋体"/>
          <w:color w:val="000000"/>
        </w:rPr>
        <w:t>（2）中标通知书</w:t>
      </w:r>
    </w:p>
    <w:p w14:paraId="1B6B9B74">
      <w:pPr>
        <w:spacing w:line="400" w:lineRule="exact"/>
        <w:ind w:right="-420" w:rightChars="-200" w:firstLine="420" w:firstLineChars="200"/>
        <w:rPr>
          <w:rFonts w:ascii="宋体" w:hAnsi="宋体"/>
          <w:color w:val="000000"/>
        </w:rPr>
      </w:pPr>
      <w:r>
        <w:rPr>
          <w:rFonts w:hint="eastAsia" w:ascii="宋体" w:hAnsi="宋体"/>
          <w:color w:val="000000"/>
        </w:rPr>
        <w:t>（3）招标文件及补充文件</w:t>
      </w:r>
    </w:p>
    <w:p w14:paraId="0E9F2017">
      <w:pPr>
        <w:spacing w:line="400" w:lineRule="exact"/>
        <w:ind w:right="-420" w:rightChars="-200" w:firstLine="420" w:firstLineChars="200"/>
        <w:rPr>
          <w:rFonts w:ascii="宋体" w:hAnsi="宋体"/>
          <w:color w:val="000000"/>
        </w:rPr>
      </w:pPr>
      <w:r>
        <w:rPr>
          <w:rFonts w:hint="eastAsia" w:ascii="宋体" w:hAnsi="宋体"/>
          <w:color w:val="000000"/>
        </w:rPr>
        <w:t>（4）投标书及其附件</w:t>
      </w:r>
    </w:p>
    <w:p w14:paraId="4819C27E">
      <w:pPr>
        <w:spacing w:line="400" w:lineRule="exact"/>
        <w:ind w:right="-420" w:rightChars="-200" w:firstLine="420" w:firstLineChars="200"/>
        <w:rPr>
          <w:rFonts w:ascii="宋体" w:hAnsi="宋体"/>
          <w:color w:val="000000"/>
        </w:rPr>
      </w:pPr>
      <w:r>
        <w:rPr>
          <w:rFonts w:hint="eastAsia" w:ascii="宋体" w:hAnsi="宋体"/>
          <w:color w:val="000000"/>
        </w:rPr>
        <w:t>（5）本合同专用条款</w:t>
      </w:r>
    </w:p>
    <w:p w14:paraId="715A3312">
      <w:pPr>
        <w:spacing w:line="400" w:lineRule="exact"/>
        <w:ind w:right="-420" w:rightChars="-200" w:firstLine="420" w:firstLineChars="200"/>
        <w:rPr>
          <w:rFonts w:ascii="宋体" w:hAnsi="宋体"/>
          <w:color w:val="000000"/>
        </w:rPr>
      </w:pPr>
      <w:r>
        <w:rPr>
          <w:rFonts w:hint="eastAsia" w:ascii="宋体" w:hAnsi="宋体"/>
          <w:color w:val="000000"/>
        </w:rPr>
        <w:t>（6）本合同通用条款</w:t>
      </w:r>
    </w:p>
    <w:p w14:paraId="30FBE9D7">
      <w:pPr>
        <w:spacing w:line="400" w:lineRule="exact"/>
        <w:ind w:right="-420" w:rightChars="-200" w:firstLine="420" w:firstLineChars="200"/>
        <w:rPr>
          <w:rFonts w:ascii="宋体" w:hAnsi="宋体"/>
          <w:color w:val="000000"/>
        </w:rPr>
      </w:pPr>
      <w:r>
        <w:rPr>
          <w:rFonts w:hint="eastAsia" w:ascii="宋体" w:hAnsi="宋体"/>
          <w:color w:val="000000"/>
        </w:rPr>
        <w:t>（7）标准、规范及有关技术文件</w:t>
      </w:r>
    </w:p>
    <w:p w14:paraId="34C1E906">
      <w:pPr>
        <w:spacing w:line="400" w:lineRule="exact"/>
        <w:ind w:right="-420" w:rightChars="-200" w:firstLine="420" w:firstLineChars="200"/>
        <w:rPr>
          <w:rFonts w:hint="default" w:ascii="宋体" w:hAnsi="宋体" w:eastAsia="宋体"/>
          <w:color w:val="000000"/>
          <w:lang w:val="en-US" w:eastAsia="zh-CN"/>
        </w:rPr>
      </w:pPr>
      <w:r>
        <w:rPr>
          <w:rFonts w:hint="eastAsia" w:ascii="宋体" w:hAnsi="宋体"/>
          <w:color w:val="000000"/>
        </w:rPr>
        <w:t>（8）</w:t>
      </w:r>
      <w:r>
        <w:rPr>
          <w:rFonts w:hint="eastAsia" w:ascii="宋体" w:hAnsi="宋体"/>
          <w:color w:val="000000"/>
          <w:lang w:val="en-US" w:eastAsia="zh-CN"/>
        </w:rPr>
        <w:t>安全技术管理协议</w:t>
      </w:r>
    </w:p>
    <w:p w14:paraId="35504E84">
      <w:pPr>
        <w:spacing w:line="400" w:lineRule="exact"/>
        <w:ind w:right="-420" w:rightChars="-200" w:firstLine="420" w:firstLineChars="200"/>
        <w:rPr>
          <w:rFonts w:ascii="宋体" w:hAnsi="宋体"/>
          <w:color w:val="000000"/>
        </w:rPr>
      </w:pPr>
      <w:r>
        <w:rPr>
          <w:rFonts w:hint="eastAsia" w:ascii="宋体" w:hAnsi="宋体"/>
          <w:color w:val="000000"/>
        </w:rPr>
        <w:t>（9）工程报价单</w:t>
      </w:r>
    </w:p>
    <w:p w14:paraId="1A032FDF">
      <w:pPr>
        <w:spacing w:line="400" w:lineRule="exact"/>
        <w:ind w:firstLine="420" w:firstLineChars="200"/>
        <w:rPr>
          <w:rFonts w:ascii="宋体" w:hAnsi="宋体"/>
          <w:color w:val="000000"/>
        </w:rPr>
      </w:pPr>
      <w:r>
        <w:rPr>
          <w:rFonts w:hint="eastAsia" w:ascii="宋体" w:hAnsi="宋体"/>
          <w:color w:val="000000"/>
        </w:rPr>
        <w:t>6.2双方有关工程的洽商、变更等书面协议或文件视为本合同的组成部分。</w:t>
      </w:r>
    </w:p>
    <w:p w14:paraId="694ED87B">
      <w:pPr>
        <w:spacing w:line="400" w:lineRule="exact"/>
        <w:ind w:firstLine="422" w:firstLineChars="200"/>
        <w:rPr>
          <w:rFonts w:ascii="宋体" w:hAnsi="宋体"/>
          <w:b/>
          <w:color w:val="000000"/>
        </w:rPr>
      </w:pPr>
      <w:r>
        <w:rPr>
          <w:rFonts w:hint="eastAsia" w:ascii="宋体" w:hAnsi="宋体"/>
          <w:b/>
          <w:color w:val="000000"/>
        </w:rPr>
        <w:t>7、本协议书中有关词语含义与本合同第二部分《通用条款》中分别赋予它们的定义相同。</w:t>
      </w:r>
    </w:p>
    <w:p w14:paraId="2BF3EF38">
      <w:pPr>
        <w:spacing w:line="400" w:lineRule="exact"/>
        <w:ind w:firstLine="422" w:firstLineChars="200"/>
        <w:rPr>
          <w:rFonts w:ascii="宋体" w:hAnsi="宋体"/>
          <w:b/>
          <w:color w:val="000000"/>
        </w:rPr>
      </w:pPr>
      <w:r>
        <w:rPr>
          <w:rFonts w:hint="eastAsia" w:ascii="宋体" w:hAnsi="宋体"/>
          <w:b/>
          <w:color w:val="000000"/>
        </w:rPr>
        <w:t>8、承包人向发包人承诺按照合同的约定进行施工、竣工并在质量保修期内承担工程质量保修责任。</w:t>
      </w:r>
    </w:p>
    <w:p w14:paraId="30DC8EE0">
      <w:pPr>
        <w:spacing w:line="400" w:lineRule="exact"/>
        <w:ind w:firstLine="422" w:firstLineChars="200"/>
        <w:rPr>
          <w:rFonts w:ascii="宋体" w:hAnsi="宋体"/>
          <w:b/>
          <w:color w:val="000000"/>
        </w:rPr>
      </w:pPr>
      <w:r>
        <w:rPr>
          <w:rFonts w:hint="eastAsia" w:ascii="宋体" w:hAnsi="宋体"/>
          <w:b/>
          <w:color w:val="000000"/>
        </w:rPr>
        <w:t>9、发包人向承包人承诺按照合同约定的期限和方式支付合同价款及其他应当支付的款项。</w:t>
      </w:r>
    </w:p>
    <w:p w14:paraId="60426334">
      <w:pPr>
        <w:spacing w:line="400" w:lineRule="exact"/>
        <w:ind w:firstLine="422" w:firstLineChars="200"/>
        <w:rPr>
          <w:rFonts w:ascii="宋体" w:hAnsi="宋体"/>
          <w:b/>
          <w:color w:val="000000"/>
        </w:rPr>
      </w:pPr>
      <w:r>
        <w:rPr>
          <w:rFonts w:hint="eastAsia" w:ascii="宋体" w:hAnsi="宋体"/>
          <w:b/>
          <w:color w:val="000000"/>
        </w:rPr>
        <w:t>10、合同生效</w:t>
      </w:r>
    </w:p>
    <w:p w14:paraId="4BBAF591">
      <w:pPr>
        <w:spacing w:line="400" w:lineRule="exact"/>
        <w:ind w:firstLine="420" w:firstLineChars="200"/>
        <w:rPr>
          <w:rFonts w:ascii="宋体" w:hAnsi="宋体"/>
          <w:color w:val="000000"/>
        </w:rPr>
      </w:pPr>
      <w:r>
        <w:rPr>
          <w:rFonts w:hint="eastAsia" w:ascii="宋体" w:hAnsi="宋体"/>
          <w:color w:val="000000"/>
        </w:rPr>
        <w:t>合同订立时间：</w:t>
      </w:r>
      <w:r>
        <w:rPr>
          <w:rFonts w:hint="eastAsia" w:ascii="宋体" w:hAnsi="宋体"/>
          <w:color w:val="000000"/>
          <w:u w:val="single"/>
        </w:rPr>
        <w:t xml:space="preserve">  </w:t>
      </w:r>
      <w:r>
        <w:rPr>
          <w:rFonts w:hint="eastAsia" w:ascii="宋体" w:hAnsi="宋体"/>
          <w:color w:val="000000"/>
          <w:u w:val="single"/>
          <w:lang w:val="en-US" w:eastAsia="zh-CN"/>
        </w:rPr>
        <w:t xml:space="preserve">  </w:t>
      </w:r>
      <w:r>
        <w:rPr>
          <w:rFonts w:hint="eastAsia" w:ascii="宋体" w:hAnsi="宋体"/>
          <w:color w:val="000000"/>
        </w:rPr>
        <w:t>年  月   日</w:t>
      </w:r>
    </w:p>
    <w:p w14:paraId="7E9E661A">
      <w:pPr>
        <w:spacing w:line="400" w:lineRule="exact"/>
        <w:ind w:firstLine="420" w:firstLineChars="200"/>
        <w:rPr>
          <w:rFonts w:ascii="宋体" w:hAnsi="宋体"/>
          <w:b/>
          <w:color w:val="000000"/>
        </w:rPr>
      </w:pPr>
      <w:r>
        <w:rPr>
          <w:rFonts w:hint="eastAsia" w:ascii="宋体" w:hAnsi="宋体"/>
          <w:color w:val="000000"/>
        </w:rPr>
        <w:t xml:space="preserve">合同订立地点： </w:t>
      </w:r>
    </w:p>
    <w:p w14:paraId="60EC932A">
      <w:pPr>
        <w:spacing w:line="400" w:lineRule="exact"/>
        <w:ind w:firstLine="420" w:firstLineChars="200"/>
        <w:jc w:val="left"/>
        <w:rPr>
          <w:rFonts w:ascii="宋体" w:hAnsi="宋体"/>
          <w:color w:val="000000"/>
        </w:rPr>
      </w:pPr>
      <w:r>
        <w:rPr>
          <w:rFonts w:hint="eastAsia" w:ascii="宋体" w:hAnsi="宋体"/>
          <w:color w:val="000000"/>
        </w:rPr>
        <w:t>本合同双方约定：</w:t>
      </w:r>
      <w:r>
        <w:rPr>
          <w:rFonts w:hint="eastAsia" w:ascii="宋体" w:hAnsi="宋体"/>
          <w:b/>
          <w:color w:val="000000"/>
          <w:u w:val="single"/>
        </w:rPr>
        <w:t xml:space="preserve">双方法定代表人或委托代表人签字并盖法人公章并提交履约保证金  </w:t>
      </w:r>
      <w:r>
        <w:rPr>
          <w:rFonts w:hint="eastAsia" w:ascii="宋体" w:hAnsi="宋体"/>
          <w:color w:val="000000"/>
        </w:rPr>
        <w:t>后生效。</w:t>
      </w:r>
    </w:p>
    <w:p w14:paraId="5FB7B73C">
      <w:pPr>
        <w:spacing w:line="400" w:lineRule="exact"/>
        <w:ind w:firstLine="420" w:firstLineChars="200"/>
        <w:rPr>
          <w:rFonts w:ascii="宋体" w:hAnsi="宋体"/>
          <w:color w:val="000000"/>
        </w:rPr>
      </w:pPr>
    </w:p>
    <w:p w14:paraId="70D525ED">
      <w:pPr>
        <w:spacing w:line="400" w:lineRule="exact"/>
        <w:ind w:firstLine="420" w:firstLineChars="200"/>
        <w:rPr>
          <w:rFonts w:ascii="宋体" w:hAnsi="宋体"/>
          <w:color w:val="000000"/>
        </w:rPr>
      </w:pPr>
      <w:r>
        <w:rPr>
          <w:rFonts w:hint="eastAsia" w:ascii="宋体" w:hAnsi="宋体"/>
          <w:color w:val="000000"/>
        </w:rPr>
        <w:t>发包人：</w:t>
      </w:r>
      <w:r>
        <w:rPr>
          <w:rFonts w:ascii="宋体" w:hAnsi="宋体"/>
          <w:color w:val="000000"/>
        </w:rPr>
        <w:t>(</w:t>
      </w:r>
      <w:r>
        <w:rPr>
          <w:rFonts w:hint="eastAsia" w:ascii="宋体" w:hAnsi="宋体"/>
          <w:color w:val="000000"/>
        </w:rPr>
        <w:t>公章</w:t>
      </w:r>
      <w:r>
        <w:rPr>
          <w:rFonts w:ascii="宋体" w:hAnsi="宋体"/>
          <w:color w:val="000000"/>
        </w:rPr>
        <w:t>)</w:t>
      </w:r>
      <w:r>
        <w:rPr>
          <w:rFonts w:hint="eastAsia" w:ascii="宋体" w:hAnsi="宋体"/>
          <w:color w:val="000000"/>
        </w:rPr>
        <w:t>承包人：</w:t>
      </w:r>
      <w:r>
        <w:rPr>
          <w:rFonts w:ascii="宋体" w:hAnsi="宋体"/>
          <w:color w:val="000000"/>
        </w:rPr>
        <w:t>(</w:t>
      </w:r>
      <w:r>
        <w:rPr>
          <w:rFonts w:hint="eastAsia" w:ascii="宋体" w:hAnsi="宋体"/>
          <w:color w:val="000000"/>
        </w:rPr>
        <w:t>公章</w:t>
      </w:r>
      <w:r>
        <w:rPr>
          <w:rFonts w:ascii="宋体" w:hAnsi="宋体"/>
          <w:color w:val="000000"/>
        </w:rPr>
        <w:t>)</w:t>
      </w:r>
    </w:p>
    <w:p w14:paraId="0E3F4C88">
      <w:pPr>
        <w:spacing w:line="400" w:lineRule="exact"/>
        <w:ind w:firstLine="420" w:firstLineChars="200"/>
        <w:rPr>
          <w:rFonts w:ascii="宋体" w:hAnsi="宋体"/>
          <w:color w:val="000000"/>
        </w:rPr>
      </w:pPr>
      <w:r>
        <w:rPr>
          <w:rFonts w:hint="eastAsia" w:ascii="宋体" w:hAnsi="宋体"/>
          <w:color w:val="000000"/>
        </w:rPr>
        <w:t>地址：                                地址：</w:t>
      </w:r>
    </w:p>
    <w:p w14:paraId="03484C5A">
      <w:pPr>
        <w:spacing w:line="400" w:lineRule="exact"/>
        <w:ind w:firstLine="420" w:firstLineChars="200"/>
        <w:rPr>
          <w:rFonts w:ascii="宋体" w:hAnsi="宋体"/>
          <w:color w:val="000000"/>
        </w:rPr>
      </w:pPr>
      <w:r>
        <w:rPr>
          <w:rFonts w:hint="eastAsia" w:ascii="宋体" w:hAnsi="宋体"/>
          <w:color w:val="000000"/>
        </w:rPr>
        <w:t>法定代表人：（签字）                法定代表人：（签字）</w:t>
      </w:r>
    </w:p>
    <w:p w14:paraId="1207AFAE">
      <w:pPr>
        <w:spacing w:line="400" w:lineRule="exact"/>
        <w:ind w:firstLine="420" w:firstLineChars="200"/>
        <w:rPr>
          <w:rFonts w:ascii="宋体" w:hAnsi="宋体"/>
          <w:color w:val="000000"/>
        </w:rPr>
      </w:pPr>
      <w:r>
        <w:rPr>
          <w:rFonts w:hint="eastAsia" w:ascii="宋体" w:hAnsi="宋体"/>
          <w:color w:val="000000"/>
        </w:rPr>
        <w:t>委托代表人：                         委托代表人：</w:t>
      </w:r>
    </w:p>
    <w:p w14:paraId="2C685819">
      <w:pPr>
        <w:spacing w:line="400" w:lineRule="exact"/>
        <w:ind w:firstLine="420" w:firstLineChars="200"/>
        <w:rPr>
          <w:rFonts w:ascii="宋体" w:hAnsi="宋体"/>
          <w:color w:val="000000"/>
        </w:rPr>
      </w:pPr>
      <w:r>
        <w:rPr>
          <w:rFonts w:hint="eastAsia" w:ascii="宋体" w:hAnsi="宋体"/>
          <w:color w:val="000000"/>
        </w:rPr>
        <w:t>电  话：                              电  话：</w:t>
      </w:r>
    </w:p>
    <w:p w14:paraId="268DA911">
      <w:pPr>
        <w:spacing w:line="400" w:lineRule="exact"/>
        <w:ind w:firstLine="420" w:firstLineChars="200"/>
        <w:rPr>
          <w:rFonts w:ascii="宋体" w:hAnsi="宋体"/>
          <w:color w:val="000000"/>
        </w:rPr>
      </w:pPr>
      <w:r>
        <w:rPr>
          <w:rFonts w:hint="eastAsia" w:ascii="宋体" w:hAnsi="宋体"/>
          <w:color w:val="000000"/>
        </w:rPr>
        <w:t>传  真：                              传  真：</w:t>
      </w:r>
    </w:p>
    <w:p w14:paraId="14DB1AC7">
      <w:pPr>
        <w:spacing w:line="400" w:lineRule="exact"/>
        <w:ind w:firstLine="420" w:firstLineChars="200"/>
        <w:rPr>
          <w:rFonts w:ascii="宋体" w:hAnsi="宋体"/>
          <w:color w:val="000000"/>
        </w:rPr>
      </w:pPr>
      <w:r>
        <w:rPr>
          <w:rFonts w:hint="eastAsia" w:ascii="宋体" w:hAnsi="宋体"/>
          <w:color w:val="000000"/>
        </w:rPr>
        <w:t>开户银行：                           开户银行：</w:t>
      </w:r>
    </w:p>
    <w:p w14:paraId="4D8208AF">
      <w:pPr>
        <w:spacing w:line="400" w:lineRule="exact"/>
        <w:ind w:firstLine="420" w:firstLineChars="200"/>
        <w:rPr>
          <w:rFonts w:ascii="宋体" w:hAnsi="宋体"/>
          <w:color w:val="000000"/>
        </w:rPr>
      </w:pPr>
      <w:r>
        <w:rPr>
          <w:rFonts w:hint="eastAsia" w:ascii="宋体" w:hAnsi="宋体"/>
          <w:color w:val="000000"/>
        </w:rPr>
        <w:t>账  号：                              账  号</w:t>
      </w:r>
    </w:p>
    <w:p w14:paraId="1A8BF50E">
      <w:pPr>
        <w:spacing w:line="400" w:lineRule="exact"/>
        <w:ind w:firstLine="420" w:firstLineChars="200"/>
        <w:rPr>
          <w:rFonts w:ascii="宋体" w:hAnsi="宋体"/>
          <w:color w:val="000000"/>
        </w:rPr>
      </w:pPr>
      <w:r>
        <w:rPr>
          <w:rFonts w:hint="eastAsia" w:ascii="宋体" w:hAnsi="宋体"/>
          <w:color w:val="000000"/>
        </w:rPr>
        <w:t>邮政编码：                           邮政编码：</w:t>
      </w:r>
    </w:p>
    <w:p w14:paraId="30CC7660">
      <w:pPr>
        <w:spacing w:line="400" w:lineRule="exact"/>
        <w:ind w:firstLine="420" w:firstLineChars="200"/>
        <w:rPr>
          <w:rFonts w:ascii="宋体" w:hAnsi="宋体"/>
          <w:color w:val="000000"/>
        </w:rPr>
      </w:pPr>
    </w:p>
    <w:p w14:paraId="76E951DC">
      <w:pPr>
        <w:spacing w:line="400" w:lineRule="exact"/>
        <w:ind w:firstLine="420" w:firstLineChars="200"/>
        <w:rPr>
          <w:rFonts w:ascii="宋体" w:hAnsi="宋体"/>
          <w:color w:val="000000"/>
        </w:rPr>
      </w:pPr>
      <w:r>
        <w:rPr>
          <w:rFonts w:hint="eastAsia" w:ascii="宋体" w:hAnsi="宋体"/>
          <w:color w:val="000000"/>
        </w:rPr>
        <w:t>建设行政主管部鉴证意见：</w:t>
      </w:r>
    </w:p>
    <w:p w14:paraId="70ABECA5">
      <w:pPr>
        <w:spacing w:line="400" w:lineRule="exact"/>
        <w:ind w:firstLine="420" w:firstLineChars="200"/>
        <w:rPr>
          <w:rFonts w:ascii="宋体" w:hAnsi="宋体"/>
          <w:color w:val="000000"/>
        </w:rPr>
      </w:pPr>
      <w:r>
        <w:rPr>
          <w:rFonts w:hint="eastAsia" w:ascii="宋体" w:hAnsi="宋体"/>
          <w:color w:val="000000"/>
        </w:rPr>
        <w:t>经 办 人：</w:t>
      </w:r>
    </w:p>
    <w:p w14:paraId="2634942A">
      <w:pPr>
        <w:spacing w:line="400" w:lineRule="exact"/>
        <w:ind w:firstLine="420" w:firstLineChars="200"/>
        <w:rPr>
          <w:rFonts w:ascii="宋体" w:hAnsi="宋体"/>
          <w:color w:val="000000"/>
          <w:sz w:val="24"/>
          <w:szCs w:val="24"/>
        </w:rPr>
      </w:pPr>
      <w:r>
        <w:rPr>
          <w:rFonts w:hint="eastAsia" w:ascii="宋体" w:hAnsi="宋体"/>
          <w:color w:val="000000"/>
        </w:rPr>
        <w:t>鉴证日期：</w:t>
      </w:r>
    </w:p>
    <w:p w14:paraId="576E832A">
      <w:pPr>
        <w:spacing w:line="440" w:lineRule="exact"/>
        <w:ind w:firstLine="480" w:firstLineChars="200"/>
        <w:jc w:val="center"/>
        <w:rPr>
          <w:rFonts w:ascii="宋体" w:hAnsi="宋体"/>
          <w:b/>
          <w:bCs/>
          <w:color w:val="000000"/>
          <w:sz w:val="28"/>
          <w:szCs w:val="24"/>
        </w:rPr>
      </w:pPr>
      <w:r>
        <w:rPr>
          <w:rFonts w:ascii="宋体" w:hAnsi="宋体"/>
          <w:color w:val="000000"/>
          <w:sz w:val="24"/>
          <w:szCs w:val="24"/>
        </w:rPr>
        <w:br w:type="page"/>
      </w:r>
      <w:r>
        <w:rPr>
          <w:rFonts w:hint="eastAsia" w:ascii="宋体" w:hAnsi="宋体"/>
          <w:b/>
          <w:bCs/>
          <w:color w:val="000000"/>
          <w:sz w:val="28"/>
          <w:szCs w:val="24"/>
        </w:rPr>
        <w:t>第二节　通用条款(略)</w:t>
      </w:r>
    </w:p>
    <w:p w14:paraId="247A5B62">
      <w:pPr>
        <w:spacing w:line="440" w:lineRule="exact"/>
        <w:ind w:firstLine="480" w:firstLineChars="200"/>
        <w:jc w:val="center"/>
        <w:rPr>
          <w:rFonts w:ascii="宋体" w:hAnsi="宋体"/>
          <w:color w:val="000000"/>
          <w:sz w:val="24"/>
          <w:szCs w:val="24"/>
        </w:rPr>
      </w:pPr>
      <w:r>
        <w:rPr>
          <w:rFonts w:hint="eastAsia" w:ascii="宋体" w:hAnsi="宋体"/>
          <w:color w:val="000000"/>
          <w:sz w:val="24"/>
          <w:szCs w:val="24"/>
        </w:rPr>
        <w:t>具体详见(GF-1999-0201)</w:t>
      </w:r>
    </w:p>
    <w:p w14:paraId="6B8E6AE0">
      <w:pPr>
        <w:spacing w:line="440" w:lineRule="exact"/>
        <w:ind w:firstLine="562" w:firstLineChars="200"/>
        <w:jc w:val="center"/>
        <w:rPr>
          <w:rFonts w:ascii="宋体" w:hAnsi="宋体"/>
          <w:b/>
          <w:bCs/>
          <w:color w:val="000000"/>
          <w:sz w:val="28"/>
          <w:szCs w:val="24"/>
        </w:rPr>
      </w:pPr>
      <w:r>
        <w:rPr>
          <w:rFonts w:hint="eastAsia" w:ascii="宋体" w:hAnsi="宋体"/>
          <w:b/>
          <w:bCs/>
          <w:color w:val="000000"/>
          <w:sz w:val="28"/>
          <w:szCs w:val="24"/>
        </w:rPr>
        <w:t>第三节　专用条款</w:t>
      </w:r>
    </w:p>
    <w:p w14:paraId="71C47B59">
      <w:pPr>
        <w:spacing w:line="440" w:lineRule="exact"/>
        <w:ind w:firstLine="562" w:firstLineChars="200"/>
        <w:jc w:val="center"/>
        <w:rPr>
          <w:rFonts w:ascii="宋体" w:hAnsi="宋体"/>
          <w:b/>
          <w:bCs/>
          <w:color w:val="000000"/>
          <w:sz w:val="28"/>
          <w:szCs w:val="24"/>
        </w:rPr>
      </w:pPr>
      <w:r>
        <w:rPr>
          <w:rFonts w:hint="eastAsia" w:ascii="宋体" w:hAnsi="宋体"/>
          <w:b/>
          <w:bCs/>
          <w:color w:val="000000"/>
          <w:sz w:val="28"/>
          <w:szCs w:val="24"/>
        </w:rPr>
        <w:t>一、词语定义及合同文件</w:t>
      </w:r>
    </w:p>
    <w:p w14:paraId="45FAB360">
      <w:pPr>
        <w:spacing w:line="400" w:lineRule="exact"/>
        <w:ind w:firstLine="422" w:firstLineChars="200"/>
        <w:rPr>
          <w:rFonts w:ascii="宋体" w:hAnsi="宋体"/>
          <w:color w:val="000000"/>
        </w:rPr>
      </w:pPr>
      <w:r>
        <w:rPr>
          <w:rFonts w:hint="eastAsia" w:ascii="宋体" w:hAnsi="宋体"/>
          <w:b/>
          <w:bCs/>
          <w:color w:val="000000"/>
        </w:rPr>
        <w:t>2.合同文件及解释顺序</w:t>
      </w:r>
    </w:p>
    <w:p w14:paraId="3C1397B2">
      <w:pPr>
        <w:spacing w:line="400" w:lineRule="exact"/>
        <w:ind w:firstLine="420" w:firstLineChars="200"/>
        <w:rPr>
          <w:rFonts w:ascii="宋体" w:hAnsi="宋体"/>
          <w:color w:val="000000"/>
        </w:rPr>
      </w:pPr>
      <w:r>
        <w:rPr>
          <w:rFonts w:hint="eastAsia" w:ascii="宋体" w:hAnsi="宋体"/>
          <w:color w:val="000000"/>
        </w:rPr>
        <w:t>合同文件组成及解释顺序：</w:t>
      </w:r>
      <w:r>
        <w:rPr>
          <w:rFonts w:hint="eastAsia" w:ascii="宋体" w:hAnsi="宋体"/>
          <w:color w:val="000000"/>
          <w:u w:val="single"/>
        </w:rPr>
        <w:t xml:space="preserve">同协议书 </w:t>
      </w:r>
      <w:r>
        <w:rPr>
          <w:rFonts w:hint="eastAsia" w:ascii="宋体" w:hAnsi="宋体"/>
          <w:color w:val="000000"/>
        </w:rPr>
        <w:t>。</w:t>
      </w:r>
    </w:p>
    <w:p w14:paraId="71868829">
      <w:pPr>
        <w:spacing w:line="400" w:lineRule="exact"/>
        <w:ind w:firstLine="420" w:firstLineChars="200"/>
        <w:rPr>
          <w:rFonts w:ascii="宋体" w:hAnsi="宋体"/>
          <w:color w:val="000000"/>
        </w:rPr>
      </w:pPr>
      <w:r>
        <w:rPr>
          <w:rFonts w:hint="eastAsia" w:ascii="宋体" w:hAnsi="宋体"/>
          <w:color w:val="000000"/>
        </w:rPr>
        <w:t>3.</w:t>
      </w:r>
      <w:r>
        <w:rPr>
          <w:rFonts w:hint="eastAsia" w:ascii="宋体" w:hAnsi="宋体"/>
          <w:b/>
          <w:bCs/>
          <w:color w:val="000000"/>
        </w:rPr>
        <w:t>语言文字和适用法律、标准及规范</w:t>
      </w:r>
    </w:p>
    <w:p w14:paraId="208F47D4">
      <w:pPr>
        <w:spacing w:line="400" w:lineRule="exact"/>
        <w:ind w:firstLine="420" w:firstLineChars="200"/>
        <w:rPr>
          <w:rFonts w:ascii="宋体" w:hAnsi="宋体"/>
          <w:color w:val="000000"/>
        </w:rPr>
      </w:pPr>
      <w:r>
        <w:rPr>
          <w:rFonts w:hint="eastAsia" w:ascii="宋体" w:hAnsi="宋体"/>
          <w:color w:val="000000"/>
        </w:rPr>
        <w:t>3.1.本合同使用汉语。</w:t>
      </w:r>
    </w:p>
    <w:p w14:paraId="30A02D43">
      <w:pPr>
        <w:spacing w:line="400" w:lineRule="exact"/>
        <w:ind w:firstLine="420" w:firstLineChars="200"/>
        <w:rPr>
          <w:rFonts w:ascii="宋体" w:hAnsi="宋体"/>
          <w:color w:val="000000"/>
        </w:rPr>
      </w:pPr>
      <w:r>
        <w:rPr>
          <w:rFonts w:hint="eastAsia" w:ascii="宋体" w:hAnsi="宋体"/>
          <w:color w:val="000000"/>
        </w:rPr>
        <w:t>3.2.适用法律和法规</w:t>
      </w:r>
    </w:p>
    <w:p w14:paraId="3C41E5DB">
      <w:pPr>
        <w:spacing w:line="400" w:lineRule="exact"/>
        <w:ind w:firstLine="420" w:firstLineChars="200"/>
        <w:rPr>
          <w:rFonts w:ascii="宋体" w:hAnsi="宋体"/>
          <w:color w:val="000000"/>
        </w:rPr>
      </w:pPr>
      <w:r>
        <w:rPr>
          <w:rFonts w:hint="eastAsia" w:ascii="宋体" w:hAnsi="宋体"/>
          <w:color w:val="000000"/>
        </w:rPr>
        <w:t>需要明示的法律、行政法规：</w:t>
      </w:r>
      <w:r>
        <w:rPr>
          <w:rFonts w:hint="eastAsia" w:ascii="宋体" w:hAnsi="宋体"/>
          <w:b/>
          <w:color w:val="000000"/>
          <w:u w:val="single"/>
        </w:rPr>
        <w:t>《中华人民共和国建筑法》、《中华人民共和国民法典》、《中华人民共和国招标投标法》、七部委第12号令《评标委员会和评标方法暂行规定》、建设部第89号令《房屋建筑和市政基础设施工程施工招标投标管理办法》、七部委第30号令《工程建设项目施工招标投标办法》、国务院第279号令《建设工程质量管理条例》、《江苏省工程建设管理条例》、《江苏省建筑市场管理条例》等</w:t>
      </w:r>
      <w:r>
        <w:rPr>
          <w:rFonts w:hint="eastAsia" w:ascii="宋体" w:hAnsi="宋体"/>
          <w:color w:val="000000"/>
        </w:rPr>
        <w:t xml:space="preserve"> 。</w:t>
      </w:r>
    </w:p>
    <w:p w14:paraId="7D016E7C">
      <w:pPr>
        <w:spacing w:line="400" w:lineRule="exact"/>
        <w:ind w:firstLine="420" w:firstLineChars="200"/>
        <w:rPr>
          <w:rFonts w:ascii="宋体" w:hAnsi="宋体"/>
          <w:color w:val="000000"/>
        </w:rPr>
      </w:pPr>
      <w:r>
        <w:rPr>
          <w:rFonts w:ascii="宋体" w:hAnsi="宋体"/>
          <w:color w:val="000000"/>
        </w:rPr>
        <w:t>3.3</w:t>
      </w:r>
      <w:r>
        <w:rPr>
          <w:rFonts w:hint="eastAsia" w:ascii="宋体" w:hAnsi="宋体"/>
          <w:color w:val="000000"/>
        </w:rPr>
        <w:t>适用标准、规范</w:t>
      </w:r>
    </w:p>
    <w:p w14:paraId="1BA4E8C2">
      <w:pPr>
        <w:spacing w:line="400" w:lineRule="exact"/>
        <w:ind w:firstLine="420" w:firstLineChars="200"/>
        <w:rPr>
          <w:rFonts w:ascii="宋体" w:hAnsi="宋体"/>
          <w:color w:val="000000"/>
        </w:rPr>
      </w:pPr>
      <w:r>
        <w:rPr>
          <w:rFonts w:hint="eastAsia" w:ascii="宋体" w:hAnsi="宋体"/>
          <w:color w:val="000000"/>
        </w:rPr>
        <w:t>适用标准、规范的名称：</w:t>
      </w:r>
      <w:r>
        <w:rPr>
          <w:rFonts w:hint="eastAsia" w:ascii="宋体" w:hAnsi="宋体"/>
          <w:b/>
          <w:color w:val="000000"/>
          <w:u w:val="single"/>
        </w:rPr>
        <w:t>现行给水工程相关标准、规范</w:t>
      </w:r>
      <w:r>
        <w:rPr>
          <w:rFonts w:hint="eastAsia" w:ascii="宋体" w:hAnsi="宋体"/>
          <w:b/>
          <w:color w:val="000000"/>
        </w:rPr>
        <w:t>。</w:t>
      </w:r>
    </w:p>
    <w:p w14:paraId="4E6BDDDB">
      <w:pPr>
        <w:spacing w:line="400" w:lineRule="exact"/>
        <w:ind w:firstLine="420" w:firstLineChars="200"/>
        <w:rPr>
          <w:rFonts w:ascii="宋体" w:hAnsi="宋体"/>
          <w:b/>
          <w:color w:val="000000"/>
          <w:u w:val="single"/>
        </w:rPr>
      </w:pPr>
      <w:r>
        <w:rPr>
          <w:rFonts w:hint="eastAsia" w:ascii="宋体" w:hAnsi="宋体"/>
          <w:color w:val="000000"/>
        </w:rPr>
        <w:t>发包人提供标准、规范的时间：</w:t>
      </w:r>
      <w:r>
        <w:rPr>
          <w:rFonts w:hint="eastAsia" w:ascii="宋体" w:hAnsi="宋体"/>
          <w:b/>
          <w:color w:val="000000"/>
          <w:u w:val="single"/>
        </w:rPr>
        <w:t>上述标准、规范由承包人自行收集，费用包含在合同价内</w:t>
      </w:r>
      <w:r>
        <w:rPr>
          <w:rFonts w:hint="eastAsia" w:ascii="宋体" w:hAnsi="宋体"/>
          <w:b/>
          <w:color w:val="000000"/>
        </w:rPr>
        <w:t>。</w:t>
      </w:r>
    </w:p>
    <w:p w14:paraId="5773E59F">
      <w:pPr>
        <w:spacing w:line="400" w:lineRule="exact"/>
        <w:ind w:firstLine="420" w:firstLineChars="200"/>
        <w:rPr>
          <w:rFonts w:ascii="宋体" w:hAnsi="宋体"/>
          <w:color w:val="000000"/>
        </w:rPr>
      </w:pPr>
      <w:r>
        <w:rPr>
          <w:rFonts w:hint="eastAsia" w:ascii="宋体" w:hAnsi="宋体"/>
          <w:color w:val="000000"/>
        </w:rPr>
        <w:t>国内没有相应标准、规范时的约定：</w:t>
      </w:r>
      <w:r>
        <w:rPr>
          <w:rFonts w:hint="eastAsia" w:ascii="宋体" w:hAnsi="宋体"/>
          <w:b/>
          <w:color w:val="000000"/>
          <w:u w:val="single"/>
        </w:rPr>
        <w:t>按甲、乙双方及监理共同商定的标准实施</w:t>
      </w:r>
      <w:r>
        <w:rPr>
          <w:rFonts w:hint="eastAsia" w:ascii="宋体" w:hAnsi="宋体"/>
          <w:b/>
          <w:color w:val="000000"/>
        </w:rPr>
        <w:t>。</w:t>
      </w:r>
    </w:p>
    <w:p w14:paraId="7607920D">
      <w:pPr>
        <w:spacing w:line="400" w:lineRule="exact"/>
        <w:ind w:firstLine="422" w:firstLineChars="200"/>
        <w:rPr>
          <w:rFonts w:ascii="宋体" w:hAnsi="宋体"/>
          <w:b/>
          <w:color w:val="000000"/>
        </w:rPr>
      </w:pPr>
      <w:r>
        <w:rPr>
          <w:rFonts w:hint="eastAsia" w:ascii="宋体" w:hAnsi="宋体"/>
          <w:b/>
          <w:color w:val="000000"/>
        </w:rPr>
        <w:t>4、图纸</w:t>
      </w:r>
    </w:p>
    <w:p w14:paraId="3F4CDA72">
      <w:pPr>
        <w:spacing w:line="400" w:lineRule="exact"/>
        <w:ind w:firstLine="420" w:firstLineChars="200"/>
        <w:rPr>
          <w:rFonts w:ascii="宋体" w:hAnsi="宋体"/>
          <w:color w:val="000000"/>
        </w:rPr>
      </w:pPr>
      <w:r>
        <w:rPr>
          <w:rFonts w:hint="eastAsia" w:ascii="宋体" w:hAnsi="宋体"/>
          <w:color w:val="000000"/>
        </w:rPr>
        <w:t xml:space="preserve">4.1发包人向承包人提供图纸日期和套数： </w:t>
      </w:r>
      <w:r>
        <w:rPr>
          <w:rFonts w:hint="eastAsia" w:ascii="宋体" w:hAnsi="宋体"/>
          <w:b/>
          <w:color w:val="000000"/>
          <w:u w:val="single"/>
        </w:rPr>
        <w:t>发包人于工程开工前向承包人提供施工图纸贰套</w:t>
      </w:r>
      <w:r>
        <w:rPr>
          <w:rFonts w:hint="eastAsia" w:ascii="宋体" w:hAnsi="宋体"/>
          <w:color w:val="000000"/>
        </w:rPr>
        <w:t xml:space="preserve">。 </w:t>
      </w:r>
    </w:p>
    <w:p w14:paraId="11067C87">
      <w:pPr>
        <w:spacing w:line="400" w:lineRule="exact"/>
        <w:ind w:firstLine="420" w:firstLineChars="200"/>
        <w:rPr>
          <w:rFonts w:ascii="宋体" w:hAnsi="宋体"/>
          <w:color w:val="000000"/>
        </w:rPr>
      </w:pPr>
      <w:r>
        <w:rPr>
          <w:rFonts w:hint="eastAsia" w:ascii="宋体" w:hAnsi="宋体"/>
          <w:color w:val="000000"/>
        </w:rPr>
        <w:t>发包人对图纸的保密要求：</w:t>
      </w:r>
      <w:r>
        <w:rPr>
          <w:rFonts w:hint="eastAsia" w:ascii="宋体" w:hAnsi="宋体"/>
          <w:b/>
          <w:color w:val="000000"/>
          <w:u w:val="single"/>
        </w:rPr>
        <w:t xml:space="preserve">无  </w:t>
      </w:r>
      <w:r>
        <w:rPr>
          <w:rFonts w:hint="eastAsia" w:ascii="宋体" w:hAnsi="宋体"/>
          <w:color w:val="000000"/>
        </w:rPr>
        <w:t>。</w:t>
      </w:r>
    </w:p>
    <w:p w14:paraId="11A5D167">
      <w:pPr>
        <w:spacing w:line="400" w:lineRule="exact"/>
        <w:ind w:firstLine="420" w:firstLineChars="200"/>
        <w:rPr>
          <w:rFonts w:ascii="宋体" w:hAnsi="宋体"/>
          <w:color w:val="000000"/>
        </w:rPr>
      </w:pPr>
      <w:r>
        <w:rPr>
          <w:rFonts w:hint="eastAsia" w:ascii="宋体" w:hAnsi="宋体"/>
          <w:color w:val="000000"/>
        </w:rPr>
        <w:t>使用国外图纸的要求及费用承担：</w:t>
      </w:r>
      <w:r>
        <w:rPr>
          <w:rFonts w:hint="eastAsia" w:ascii="宋体" w:hAnsi="宋体"/>
          <w:b/>
          <w:color w:val="000000"/>
          <w:u w:val="single"/>
        </w:rPr>
        <w:t>无</w:t>
      </w:r>
      <w:r>
        <w:rPr>
          <w:rFonts w:hint="eastAsia" w:ascii="宋体" w:hAnsi="宋体"/>
          <w:color w:val="000000"/>
        </w:rPr>
        <w:t xml:space="preserve"> 。</w:t>
      </w:r>
    </w:p>
    <w:p w14:paraId="1F2DF62C">
      <w:pPr>
        <w:spacing w:line="400" w:lineRule="exact"/>
        <w:ind w:firstLine="562" w:firstLineChars="200"/>
        <w:jc w:val="center"/>
        <w:rPr>
          <w:rFonts w:ascii="宋体" w:hAnsi="宋体"/>
          <w:b/>
          <w:color w:val="000000"/>
          <w:sz w:val="28"/>
          <w:szCs w:val="24"/>
        </w:rPr>
      </w:pPr>
      <w:r>
        <w:rPr>
          <w:rFonts w:hint="eastAsia" w:ascii="宋体" w:hAnsi="宋体"/>
          <w:b/>
          <w:color w:val="000000"/>
          <w:sz w:val="28"/>
          <w:szCs w:val="24"/>
        </w:rPr>
        <w:t>二、双方一般权利和义务</w:t>
      </w:r>
    </w:p>
    <w:p w14:paraId="1EA6C832">
      <w:pPr>
        <w:spacing w:line="400" w:lineRule="exact"/>
        <w:ind w:firstLine="422" w:firstLineChars="200"/>
        <w:rPr>
          <w:rFonts w:ascii="宋体" w:hAnsi="宋体"/>
          <w:b/>
          <w:color w:val="000000"/>
        </w:rPr>
      </w:pPr>
      <w:r>
        <w:rPr>
          <w:rFonts w:hint="eastAsia" w:ascii="宋体" w:hAnsi="宋体"/>
          <w:b/>
          <w:color w:val="000000"/>
        </w:rPr>
        <w:t>5、工程师</w:t>
      </w:r>
    </w:p>
    <w:p w14:paraId="1121C400">
      <w:pPr>
        <w:spacing w:line="400" w:lineRule="exact"/>
        <w:ind w:firstLine="420" w:firstLineChars="200"/>
        <w:rPr>
          <w:rFonts w:ascii="宋体" w:hAnsi="宋体"/>
          <w:color w:val="000000"/>
        </w:rPr>
      </w:pPr>
      <w:r>
        <w:rPr>
          <w:rFonts w:ascii="宋体" w:hAnsi="宋体"/>
          <w:color w:val="000000"/>
        </w:rPr>
        <w:t>5.2</w:t>
      </w:r>
      <w:r>
        <w:rPr>
          <w:rFonts w:hint="eastAsia" w:ascii="宋体" w:hAnsi="宋体"/>
          <w:color w:val="000000"/>
        </w:rPr>
        <w:t>监理单位委派的工程师</w:t>
      </w:r>
    </w:p>
    <w:p w14:paraId="3F58C521">
      <w:pPr>
        <w:spacing w:line="400" w:lineRule="exact"/>
        <w:ind w:firstLine="420" w:firstLineChars="200"/>
        <w:rPr>
          <w:rFonts w:ascii="宋体" w:hAnsi="宋体"/>
          <w:color w:val="000000"/>
          <w:u w:val="single"/>
        </w:rPr>
      </w:pPr>
      <w:r>
        <w:rPr>
          <w:rFonts w:hint="eastAsia" w:ascii="宋体" w:hAnsi="宋体"/>
          <w:color w:val="000000"/>
        </w:rPr>
        <w:t>姓名： 职务：</w:t>
      </w:r>
      <w:r>
        <w:rPr>
          <w:rFonts w:hint="eastAsia" w:ascii="宋体" w:hAnsi="宋体"/>
          <w:b/>
          <w:color w:val="000000"/>
          <w:u w:val="single"/>
        </w:rPr>
        <w:t xml:space="preserve">总监理工程师 </w:t>
      </w:r>
    </w:p>
    <w:p w14:paraId="2B00F136">
      <w:pPr>
        <w:spacing w:line="400" w:lineRule="exact"/>
        <w:ind w:firstLine="420" w:firstLineChars="200"/>
        <w:rPr>
          <w:rFonts w:ascii="宋体" w:hAnsi="宋体"/>
          <w:color w:val="000000"/>
          <w:u w:val="single"/>
        </w:rPr>
      </w:pPr>
      <w:r>
        <w:rPr>
          <w:rFonts w:hint="eastAsia" w:ascii="宋体" w:hAnsi="宋体"/>
          <w:color w:val="000000"/>
        </w:rPr>
        <w:t>发包人委托的职权：</w:t>
      </w:r>
      <w:r>
        <w:rPr>
          <w:rFonts w:hint="eastAsia" w:ascii="宋体" w:hAnsi="宋体"/>
          <w:color w:val="000000"/>
          <w:u w:val="single"/>
        </w:rPr>
        <w:t xml:space="preserve"> 对本工程施工阶段的质量、进度、投资进行控制，对安全生产、文明施工、信息管理、组织协调施工现场和各方关系，以及</w:t>
      </w:r>
      <w:r>
        <w:rPr>
          <w:rFonts w:hint="eastAsia" w:ascii="宋体" w:hAnsi="宋体"/>
          <w:bCs/>
          <w:color w:val="000000"/>
          <w:u w:val="single"/>
        </w:rPr>
        <w:t>《建设工程委托监理合同》内发包人委托的职权</w:t>
      </w:r>
      <w:r>
        <w:rPr>
          <w:rFonts w:hint="eastAsia" w:ascii="宋体" w:hAnsi="宋体"/>
          <w:color w:val="000000"/>
        </w:rPr>
        <w:t>。</w:t>
      </w:r>
    </w:p>
    <w:p w14:paraId="151CF906">
      <w:pPr>
        <w:spacing w:line="400" w:lineRule="exact"/>
        <w:ind w:firstLine="420" w:firstLineChars="200"/>
        <w:rPr>
          <w:rFonts w:ascii="宋体" w:hAnsi="宋体"/>
          <w:color w:val="000000"/>
          <w:u w:val="single"/>
        </w:rPr>
      </w:pPr>
      <w:r>
        <w:rPr>
          <w:rFonts w:hint="eastAsia" w:ascii="宋体" w:hAnsi="宋体"/>
          <w:color w:val="000000"/>
        </w:rPr>
        <w:t>需要取得发包人批准才能行使的职权：</w:t>
      </w:r>
      <w:r>
        <w:rPr>
          <w:rFonts w:hint="eastAsia" w:ascii="宋体" w:hAnsi="宋体"/>
          <w:b/>
          <w:color w:val="000000"/>
          <w:u w:val="single"/>
        </w:rPr>
        <w:t>见本工程《建设工程委托监理合同》</w:t>
      </w:r>
      <w:r>
        <w:rPr>
          <w:rFonts w:hint="eastAsia" w:ascii="宋体" w:hAnsi="宋体"/>
          <w:color w:val="000000"/>
        </w:rPr>
        <w:t>。</w:t>
      </w:r>
    </w:p>
    <w:p w14:paraId="6E6C0BE5">
      <w:pPr>
        <w:spacing w:line="400" w:lineRule="exact"/>
        <w:ind w:firstLine="420" w:firstLineChars="200"/>
        <w:rPr>
          <w:rFonts w:ascii="宋体" w:hAnsi="宋体"/>
          <w:color w:val="000000"/>
        </w:rPr>
      </w:pPr>
      <w:r>
        <w:rPr>
          <w:rFonts w:ascii="宋体" w:hAnsi="宋体"/>
          <w:color w:val="000000"/>
        </w:rPr>
        <w:t>5.3</w:t>
      </w:r>
      <w:r>
        <w:rPr>
          <w:rFonts w:hint="eastAsia" w:ascii="宋体" w:hAnsi="宋体"/>
          <w:color w:val="000000"/>
        </w:rPr>
        <w:t>发包人派驻的工程师</w:t>
      </w:r>
    </w:p>
    <w:p w14:paraId="4EC6FB0B">
      <w:pPr>
        <w:spacing w:line="400" w:lineRule="exact"/>
        <w:ind w:firstLine="420" w:firstLineChars="200"/>
        <w:rPr>
          <w:rFonts w:ascii="宋体" w:hAnsi="宋体"/>
          <w:color w:val="000000"/>
        </w:rPr>
      </w:pPr>
      <w:r>
        <w:rPr>
          <w:rFonts w:hint="eastAsia" w:ascii="宋体" w:hAnsi="宋体"/>
          <w:color w:val="000000"/>
        </w:rPr>
        <w:t>姓名：职务：</w:t>
      </w:r>
    </w:p>
    <w:p w14:paraId="5B0A741C">
      <w:pPr>
        <w:spacing w:line="400" w:lineRule="exact"/>
        <w:ind w:firstLine="420" w:firstLineChars="200"/>
        <w:rPr>
          <w:rFonts w:ascii="宋体" w:hAnsi="宋体"/>
          <w:b/>
          <w:color w:val="000000"/>
          <w:u w:val="single"/>
        </w:rPr>
      </w:pPr>
      <w:r>
        <w:rPr>
          <w:rFonts w:hint="eastAsia" w:ascii="宋体" w:hAnsi="宋体"/>
          <w:color w:val="000000"/>
        </w:rPr>
        <w:t>职权：</w:t>
      </w:r>
      <w:r>
        <w:rPr>
          <w:rFonts w:hint="eastAsia" w:ascii="宋体" w:hAnsi="宋体"/>
          <w:b/>
          <w:color w:val="000000"/>
          <w:u w:val="single"/>
        </w:rPr>
        <w:t>代表发包人行使本合同约定的发包人的权力和监理人需要取得发包人批准的权力</w:t>
      </w:r>
      <w:r>
        <w:rPr>
          <w:rFonts w:hint="eastAsia" w:ascii="宋体" w:hAnsi="宋体"/>
          <w:b/>
          <w:color w:val="000000"/>
        </w:rPr>
        <w:t xml:space="preserve">。 </w:t>
      </w:r>
    </w:p>
    <w:p w14:paraId="70453FFA">
      <w:pPr>
        <w:spacing w:line="400" w:lineRule="exact"/>
        <w:ind w:firstLine="420" w:firstLineChars="200"/>
        <w:rPr>
          <w:rFonts w:ascii="宋体" w:hAnsi="宋体"/>
          <w:color w:val="000000"/>
          <w:u w:val="single"/>
        </w:rPr>
      </w:pPr>
      <w:r>
        <w:rPr>
          <w:rFonts w:hint="eastAsia" w:ascii="宋体" w:hAnsi="宋体"/>
          <w:color w:val="000000"/>
        </w:rPr>
        <w:t>5.6不实行监理的，工程师的职权：</w:t>
      </w:r>
    </w:p>
    <w:p w14:paraId="67E02EC0">
      <w:pPr>
        <w:spacing w:line="400" w:lineRule="exact"/>
        <w:ind w:firstLine="422" w:firstLineChars="200"/>
        <w:rPr>
          <w:rFonts w:ascii="宋体" w:hAnsi="宋体"/>
          <w:b/>
          <w:color w:val="000000"/>
        </w:rPr>
      </w:pPr>
      <w:r>
        <w:rPr>
          <w:rFonts w:ascii="宋体" w:hAnsi="宋体"/>
          <w:b/>
          <w:color w:val="000000"/>
        </w:rPr>
        <w:t>7</w:t>
      </w:r>
      <w:r>
        <w:rPr>
          <w:rFonts w:hint="eastAsia" w:ascii="宋体" w:hAnsi="宋体"/>
          <w:b/>
          <w:color w:val="000000"/>
        </w:rPr>
        <w:t>、注册建造师</w:t>
      </w:r>
    </w:p>
    <w:p w14:paraId="585039E0">
      <w:pPr>
        <w:spacing w:line="400" w:lineRule="exact"/>
        <w:ind w:firstLine="420" w:firstLineChars="200"/>
        <w:rPr>
          <w:rFonts w:ascii="宋体" w:hAnsi="宋体"/>
          <w:color w:val="000000"/>
          <w:u w:val="single"/>
        </w:rPr>
      </w:pPr>
      <w:r>
        <w:rPr>
          <w:rFonts w:ascii="宋体" w:hAnsi="宋体"/>
          <w:color w:val="000000"/>
        </w:rPr>
        <w:t> </w:t>
      </w:r>
      <w:r>
        <w:rPr>
          <w:rFonts w:hint="eastAsia" w:ascii="宋体" w:hAnsi="宋体"/>
          <w:color w:val="000000"/>
        </w:rPr>
        <w:t>姓名： 职务：职权：</w:t>
      </w:r>
      <w:r>
        <w:rPr>
          <w:rFonts w:hint="eastAsia" w:ascii="宋体" w:hAnsi="宋体"/>
          <w:color w:val="000000"/>
          <w:u w:val="single"/>
        </w:rPr>
        <w:t>　　　　　　　　　　　　　　　　　　　　　　　　　　　　</w:t>
      </w:r>
    </w:p>
    <w:p w14:paraId="7CC179D7">
      <w:pPr>
        <w:spacing w:line="400" w:lineRule="exact"/>
        <w:ind w:firstLine="422" w:firstLineChars="200"/>
        <w:rPr>
          <w:rFonts w:ascii="宋体" w:hAnsi="宋体"/>
          <w:b/>
          <w:color w:val="000000"/>
        </w:rPr>
      </w:pPr>
      <w:r>
        <w:rPr>
          <w:rFonts w:hint="eastAsia" w:ascii="宋体" w:hAnsi="宋体"/>
          <w:b/>
          <w:color w:val="000000"/>
        </w:rPr>
        <w:t>8、发包人工作</w:t>
      </w:r>
    </w:p>
    <w:p w14:paraId="296815D7">
      <w:pPr>
        <w:spacing w:line="400" w:lineRule="exact"/>
        <w:ind w:firstLine="420" w:firstLineChars="200"/>
        <w:rPr>
          <w:rFonts w:ascii="宋体" w:hAnsi="宋体"/>
          <w:color w:val="000000"/>
        </w:rPr>
      </w:pPr>
      <w:r>
        <w:rPr>
          <w:rFonts w:ascii="宋体" w:hAnsi="宋体"/>
          <w:color w:val="000000"/>
        </w:rPr>
        <w:t>8.1</w:t>
      </w:r>
      <w:r>
        <w:rPr>
          <w:rFonts w:hint="eastAsia" w:ascii="宋体" w:hAnsi="宋体"/>
          <w:color w:val="000000"/>
        </w:rPr>
        <w:t>发包人应按约定的时间和要求完成以下工作：</w:t>
      </w:r>
    </w:p>
    <w:p w14:paraId="578B1400">
      <w:pPr>
        <w:spacing w:line="400" w:lineRule="exact"/>
        <w:ind w:firstLine="420" w:firstLineChars="200"/>
        <w:rPr>
          <w:rFonts w:ascii="宋体" w:hAnsi="宋体"/>
          <w:color w:val="000000"/>
        </w:rPr>
      </w:pPr>
      <w:r>
        <w:rPr>
          <w:rFonts w:ascii="宋体" w:hAnsi="宋体"/>
          <w:color w:val="000000"/>
        </w:rPr>
        <w:t>(1)</w:t>
      </w:r>
      <w:r>
        <w:rPr>
          <w:rFonts w:hint="eastAsia" w:ascii="宋体" w:hAnsi="宋体"/>
          <w:color w:val="000000"/>
        </w:rPr>
        <w:t>施工场地具备施工条件的要求及完成的时间：</w:t>
      </w:r>
      <w:r>
        <w:rPr>
          <w:rFonts w:hint="eastAsia" w:ascii="宋体" w:hAnsi="宋体"/>
          <w:b/>
          <w:color w:val="000000"/>
          <w:u w:val="single"/>
        </w:rPr>
        <w:t>按现状，由投标人自行踏勘现场，费用包含在投标报价中</w:t>
      </w:r>
      <w:r>
        <w:rPr>
          <w:rFonts w:hint="eastAsia" w:ascii="宋体" w:hAnsi="宋体"/>
          <w:color w:val="000000"/>
        </w:rPr>
        <w:t>。</w:t>
      </w:r>
    </w:p>
    <w:p w14:paraId="31C82128">
      <w:pPr>
        <w:spacing w:line="400" w:lineRule="exact"/>
        <w:ind w:firstLine="420" w:firstLineChars="200"/>
        <w:rPr>
          <w:rFonts w:ascii="宋体" w:hAnsi="宋体"/>
          <w:b/>
          <w:color w:val="000000"/>
        </w:rPr>
      </w:pPr>
      <w:r>
        <w:rPr>
          <w:rFonts w:ascii="宋体" w:hAnsi="宋体"/>
          <w:color w:val="000000"/>
        </w:rPr>
        <w:t>(2)</w:t>
      </w:r>
      <w:r>
        <w:rPr>
          <w:rFonts w:hint="eastAsia" w:ascii="宋体" w:hAnsi="宋体"/>
          <w:color w:val="000000"/>
        </w:rPr>
        <w:t>将施工所需的水、电、电讯线路接至施工场地的时间、地点和供应要求：</w:t>
      </w:r>
      <w:r>
        <w:rPr>
          <w:rFonts w:hint="eastAsia" w:ascii="宋体" w:hAnsi="宋体"/>
          <w:b/>
          <w:color w:val="000000"/>
          <w:u w:val="single"/>
        </w:rPr>
        <w:t xml:space="preserve">由中标单位接至施工现场，费用包含在投标报价中 </w:t>
      </w:r>
      <w:r>
        <w:rPr>
          <w:rFonts w:hint="eastAsia" w:ascii="宋体" w:hAnsi="宋体"/>
          <w:b/>
          <w:color w:val="000000"/>
        </w:rPr>
        <w:t xml:space="preserve">。 </w:t>
      </w:r>
    </w:p>
    <w:p w14:paraId="392F1219">
      <w:pPr>
        <w:spacing w:line="400" w:lineRule="exact"/>
        <w:ind w:firstLine="420" w:firstLineChars="200"/>
        <w:rPr>
          <w:rFonts w:ascii="宋体" w:hAnsi="宋体"/>
          <w:color w:val="000000"/>
        </w:rPr>
      </w:pPr>
      <w:r>
        <w:rPr>
          <w:rFonts w:ascii="宋体" w:hAnsi="宋体"/>
          <w:color w:val="000000"/>
        </w:rPr>
        <w:t>(3)</w:t>
      </w:r>
      <w:r>
        <w:rPr>
          <w:rFonts w:hint="eastAsia" w:ascii="宋体" w:hAnsi="宋体"/>
          <w:color w:val="000000"/>
        </w:rPr>
        <w:t>施工场地与公共道路的通道开通时间和要求：</w:t>
      </w:r>
      <w:r>
        <w:rPr>
          <w:rFonts w:hint="eastAsia" w:ascii="宋体" w:hAnsi="宋体"/>
          <w:b/>
          <w:color w:val="000000"/>
          <w:u w:val="single"/>
        </w:rPr>
        <w:t>按现状，由投标人自行踏勘现场，费用包含在投标报价中</w:t>
      </w:r>
      <w:r>
        <w:rPr>
          <w:rFonts w:hint="eastAsia" w:ascii="宋体" w:hAnsi="宋体"/>
          <w:color w:val="000000"/>
        </w:rPr>
        <w:t>。</w:t>
      </w:r>
    </w:p>
    <w:p w14:paraId="3B8024BE">
      <w:pPr>
        <w:spacing w:line="400" w:lineRule="exact"/>
        <w:ind w:firstLine="420" w:firstLineChars="200"/>
        <w:rPr>
          <w:rFonts w:ascii="宋体" w:hAnsi="宋体"/>
          <w:color w:val="000000"/>
        </w:rPr>
      </w:pPr>
      <w:r>
        <w:rPr>
          <w:rFonts w:ascii="宋体" w:hAnsi="宋体"/>
          <w:color w:val="000000"/>
        </w:rPr>
        <w:t xml:space="preserve"> (4)</w:t>
      </w:r>
      <w:r>
        <w:rPr>
          <w:rFonts w:hint="eastAsia" w:ascii="宋体" w:hAnsi="宋体"/>
          <w:color w:val="000000"/>
        </w:rPr>
        <w:t>工程地质和地下管线资料的提供时间：</w:t>
      </w:r>
      <w:r>
        <w:rPr>
          <w:rFonts w:hint="eastAsia" w:ascii="宋体" w:hAnsi="宋体"/>
          <w:b/>
          <w:color w:val="000000"/>
          <w:u w:val="single"/>
        </w:rPr>
        <w:t>发包人于开工前向承包人提供工程地质和地下管线资料。</w:t>
      </w:r>
    </w:p>
    <w:p w14:paraId="5EA32154">
      <w:pPr>
        <w:spacing w:line="400" w:lineRule="exact"/>
        <w:ind w:firstLine="420" w:firstLineChars="200"/>
        <w:rPr>
          <w:rFonts w:ascii="宋体" w:hAnsi="宋体"/>
          <w:b/>
          <w:color w:val="000000"/>
          <w:u w:val="single"/>
        </w:rPr>
      </w:pPr>
      <w:r>
        <w:rPr>
          <w:rFonts w:ascii="宋体" w:hAnsi="宋体"/>
          <w:color w:val="000000"/>
        </w:rPr>
        <w:t>5)</w:t>
      </w:r>
      <w:r>
        <w:rPr>
          <w:rFonts w:hint="eastAsia" w:ascii="宋体" w:hAnsi="宋体"/>
          <w:color w:val="000000"/>
        </w:rPr>
        <w:t>由发包人办理的施工所需证件、批件的名称和完成时间：</w:t>
      </w:r>
      <w:r>
        <w:rPr>
          <w:rFonts w:hint="eastAsia" w:ascii="宋体" w:hAnsi="宋体"/>
          <w:b/>
          <w:color w:val="000000"/>
          <w:u w:val="single"/>
        </w:rPr>
        <w:t>工程开工前一周内办理完成</w:t>
      </w:r>
      <w:r>
        <w:rPr>
          <w:rFonts w:hint="eastAsia" w:ascii="宋体" w:hAnsi="宋体"/>
          <w:b/>
          <w:color w:val="000000"/>
        </w:rPr>
        <w:t>。</w:t>
      </w:r>
    </w:p>
    <w:p w14:paraId="52639952">
      <w:pPr>
        <w:spacing w:line="400" w:lineRule="exact"/>
        <w:ind w:firstLine="420" w:firstLineChars="200"/>
        <w:rPr>
          <w:rFonts w:ascii="宋体" w:hAnsi="宋体"/>
          <w:b/>
          <w:color w:val="000000"/>
        </w:rPr>
      </w:pPr>
      <w:r>
        <w:rPr>
          <w:rFonts w:ascii="宋体" w:hAnsi="宋体"/>
          <w:color w:val="000000"/>
        </w:rPr>
        <w:t>(6)</w:t>
      </w:r>
      <w:r>
        <w:rPr>
          <w:rFonts w:hint="eastAsia" w:ascii="宋体" w:hAnsi="宋体"/>
          <w:color w:val="000000"/>
        </w:rPr>
        <w:t>水准点与座标控制点交验要求：</w:t>
      </w:r>
      <w:r>
        <w:rPr>
          <w:rFonts w:hint="eastAsia" w:ascii="宋体" w:hAnsi="宋体"/>
          <w:b/>
          <w:color w:val="000000"/>
          <w:u w:val="single"/>
        </w:rPr>
        <w:t xml:space="preserve">以书面形式交给承包人，并于开工前进行现场交验  </w:t>
      </w:r>
      <w:r>
        <w:rPr>
          <w:rFonts w:hint="eastAsia" w:ascii="宋体" w:hAnsi="宋体"/>
          <w:b/>
          <w:color w:val="000000"/>
        </w:rPr>
        <w:t>。</w:t>
      </w:r>
    </w:p>
    <w:p w14:paraId="6F5563A6">
      <w:pPr>
        <w:spacing w:line="400" w:lineRule="exact"/>
        <w:ind w:firstLine="420" w:firstLineChars="200"/>
        <w:rPr>
          <w:rFonts w:ascii="宋体" w:hAnsi="宋体"/>
          <w:color w:val="000000"/>
          <w:u w:val="single"/>
        </w:rPr>
      </w:pPr>
      <w:r>
        <w:rPr>
          <w:rFonts w:ascii="宋体" w:hAnsi="宋体"/>
          <w:color w:val="000000"/>
        </w:rPr>
        <w:t>(7)</w:t>
      </w:r>
      <w:r>
        <w:rPr>
          <w:rFonts w:hint="eastAsia" w:ascii="宋体" w:hAnsi="宋体"/>
          <w:color w:val="000000"/>
        </w:rPr>
        <w:t>图纸会审和设计交底时间：</w:t>
      </w:r>
      <w:r>
        <w:rPr>
          <w:rFonts w:hint="eastAsia" w:ascii="宋体" w:hAnsi="宋体"/>
          <w:b/>
          <w:color w:val="000000"/>
          <w:u w:val="single"/>
        </w:rPr>
        <w:t>发包人于工程开工前组织图纸会审和设计交底</w:t>
      </w:r>
      <w:r>
        <w:rPr>
          <w:rFonts w:hint="eastAsia" w:ascii="宋体" w:hAnsi="宋体"/>
          <w:b/>
          <w:color w:val="000000"/>
        </w:rPr>
        <w:t>。</w:t>
      </w:r>
    </w:p>
    <w:p w14:paraId="14D1512A">
      <w:pPr>
        <w:spacing w:line="400" w:lineRule="exact"/>
        <w:ind w:firstLine="420" w:firstLineChars="200"/>
        <w:rPr>
          <w:rFonts w:ascii="宋体" w:hAnsi="宋体"/>
          <w:color w:val="000000"/>
        </w:rPr>
      </w:pPr>
      <w:r>
        <w:rPr>
          <w:rFonts w:ascii="宋体" w:hAnsi="宋体"/>
          <w:color w:val="000000"/>
        </w:rPr>
        <w:t>(8)</w:t>
      </w:r>
      <w:r>
        <w:rPr>
          <w:rFonts w:hint="eastAsia" w:ascii="宋体" w:hAnsi="宋体"/>
          <w:color w:val="000000"/>
        </w:rPr>
        <w:t>协调处理施工场地周围地下管线和邻近建筑物、构筑物（含文物保护建筑）、古树名木的保护工作：</w:t>
      </w:r>
      <w:r>
        <w:rPr>
          <w:rFonts w:hint="eastAsia" w:ascii="宋体" w:hAnsi="宋体"/>
          <w:b/>
          <w:color w:val="000000"/>
          <w:u w:val="single"/>
        </w:rPr>
        <w:t>由投标人自行踏勘现场，费用包含在投标报价中。</w:t>
      </w:r>
    </w:p>
    <w:p w14:paraId="504FAA77">
      <w:pPr>
        <w:spacing w:line="400" w:lineRule="exact"/>
        <w:ind w:firstLine="420" w:firstLineChars="200"/>
        <w:rPr>
          <w:rFonts w:ascii="宋体" w:hAnsi="宋体"/>
          <w:color w:val="000000"/>
        </w:rPr>
      </w:pPr>
      <w:r>
        <w:rPr>
          <w:rFonts w:ascii="宋体" w:hAnsi="宋体"/>
          <w:color w:val="000000"/>
        </w:rPr>
        <w:t>(9)</w:t>
      </w:r>
      <w:r>
        <w:rPr>
          <w:rFonts w:hint="eastAsia" w:ascii="宋体" w:hAnsi="宋体"/>
          <w:color w:val="000000"/>
        </w:rPr>
        <w:t>双方约定发包人应做的其他工作：</w:t>
      </w:r>
      <w:r>
        <w:rPr>
          <w:rFonts w:hint="eastAsia" w:ascii="宋体" w:hAnsi="宋体"/>
          <w:b/>
          <w:color w:val="000000"/>
          <w:u w:val="single"/>
        </w:rPr>
        <w:t>如发生双方友好协商</w:t>
      </w:r>
      <w:r>
        <w:rPr>
          <w:rFonts w:hint="eastAsia" w:ascii="宋体" w:hAnsi="宋体"/>
          <w:color w:val="000000"/>
        </w:rPr>
        <w:t>。</w:t>
      </w:r>
    </w:p>
    <w:p w14:paraId="7C811A08">
      <w:pPr>
        <w:spacing w:line="400" w:lineRule="exact"/>
        <w:ind w:firstLine="420" w:firstLineChars="200"/>
        <w:rPr>
          <w:rFonts w:ascii="宋体" w:hAnsi="宋体"/>
          <w:color w:val="000000"/>
          <w:u w:val="single"/>
        </w:rPr>
      </w:pPr>
      <w:r>
        <w:rPr>
          <w:rFonts w:ascii="宋体" w:hAnsi="宋体"/>
          <w:color w:val="000000"/>
        </w:rPr>
        <w:t>8.2</w:t>
      </w:r>
      <w:r>
        <w:rPr>
          <w:rFonts w:hint="eastAsia" w:ascii="宋体" w:hAnsi="宋体"/>
          <w:color w:val="000000"/>
        </w:rPr>
        <w:t xml:space="preserve">发包人委托承包人办理的工作： </w:t>
      </w:r>
      <w:r>
        <w:rPr>
          <w:rFonts w:hint="eastAsia" w:ascii="宋体" w:hAnsi="宋体"/>
          <w:b/>
          <w:color w:val="000000"/>
          <w:u w:val="single"/>
        </w:rPr>
        <w:t xml:space="preserve">如发生双方友好协商 </w:t>
      </w:r>
      <w:r>
        <w:rPr>
          <w:rFonts w:hint="eastAsia" w:ascii="宋体" w:hAnsi="宋体"/>
          <w:color w:val="000000"/>
        </w:rPr>
        <w:t>。</w:t>
      </w:r>
    </w:p>
    <w:p w14:paraId="5DF8B6E1">
      <w:pPr>
        <w:spacing w:line="400" w:lineRule="exact"/>
        <w:ind w:firstLine="422" w:firstLineChars="200"/>
        <w:rPr>
          <w:rFonts w:ascii="宋体" w:hAnsi="宋体"/>
          <w:b/>
          <w:color w:val="000000"/>
        </w:rPr>
      </w:pPr>
      <w:r>
        <w:rPr>
          <w:rFonts w:ascii="宋体" w:hAnsi="宋体"/>
          <w:b/>
          <w:color w:val="000000"/>
        </w:rPr>
        <w:t>9</w:t>
      </w:r>
      <w:r>
        <w:rPr>
          <w:rFonts w:hint="eastAsia" w:ascii="宋体" w:hAnsi="宋体"/>
          <w:b/>
          <w:color w:val="000000"/>
        </w:rPr>
        <w:t>、承包人工作</w:t>
      </w:r>
    </w:p>
    <w:p w14:paraId="7EA95238">
      <w:pPr>
        <w:spacing w:line="400" w:lineRule="exact"/>
        <w:ind w:firstLine="420" w:firstLineChars="200"/>
        <w:rPr>
          <w:rFonts w:ascii="宋体" w:hAnsi="宋体"/>
          <w:color w:val="000000"/>
        </w:rPr>
      </w:pPr>
      <w:r>
        <w:rPr>
          <w:rFonts w:ascii="宋体" w:hAnsi="宋体"/>
          <w:color w:val="000000"/>
        </w:rPr>
        <w:t>9.1</w:t>
      </w:r>
      <w:r>
        <w:rPr>
          <w:rFonts w:hint="eastAsia" w:ascii="宋体" w:hAnsi="宋体"/>
          <w:color w:val="000000"/>
        </w:rPr>
        <w:t>承包人应按约定时间和要求，完成以下工作：</w:t>
      </w:r>
    </w:p>
    <w:p w14:paraId="0B19FFC3">
      <w:pPr>
        <w:spacing w:line="400" w:lineRule="exact"/>
        <w:ind w:firstLine="420" w:firstLineChars="200"/>
        <w:rPr>
          <w:rFonts w:ascii="宋体" w:hAnsi="宋体"/>
          <w:color w:val="000000"/>
          <w:u w:val="single"/>
        </w:rPr>
      </w:pPr>
      <w:r>
        <w:rPr>
          <w:rFonts w:ascii="宋体" w:hAnsi="宋体"/>
          <w:color w:val="000000"/>
        </w:rPr>
        <w:t>(1)</w:t>
      </w:r>
      <w:r>
        <w:rPr>
          <w:rFonts w:hint="eastAsia" w:ascii="宋体" w:hAnsi="宋体"/>
          <w:color w:val="000000"/>
        </w:rPr>
        <w:t>需由设计资质等级和业务范围允许的承包人完成的设计文件提交时间：</w:t>
      </w:r>
      <w:r>
        <w:rPr>
          <w:rFonts w:hint="eastAsia" w:ascii="宋体" w:hAnsi="宋体"/>
          <w:b/>
          <w:color w:val="000000"/>
          <w:u w:val="single"/>
        </w:rPr>
        <w:t>无</w:t>
      </w:r>
    </w:p>
    <w:p w14:paraId="5CCEDE80">
      <w:pPr>
        <w:spacing w:line="400" w:lineRule="exact"/>
        <w:ind w:firstLine="420" w:firstLineChars="200"/>
        <w:rPr>
          <w:rFonts w:ascii="宋体" w:hAnsi="宋体"/>
          <w:color w:val="000000"/>
          <w:u w:val="single"/>
        </w:rPr>
      </w:pPr>
      <w:r>
        <w:rPr>
          <w:rFonts w:ascii="宋体" w:hAnsi="宋体"/>
          <w:color w:val="000000"/>
        </w:rPr>
        <w:t>(2)</w:t>
      </w:r>
      <w:r>
        <w:rPr>
          <w:rFonts w:hint="eastAsia" w:ascii="宋体" w:hAnsi="宋体"/>
          <w:color w:val="000000"/>
        </w:rPr>
        <w:t>应提供计划、报表的名称及完成时间：</w:t>
      </w:r>
      <w:r>
        <w:rPr>
          <w:rFonts w:hint="eastAsia" w:ascii="宋体" w:hAnsi="宋体"/>
          <w:b/>
          <w:color w:val="000000"/>
          <w:u w:val="single"/>
        </w:rPr>
        <w:t>每周四下午5：00前提供下周计划和本周完成情况统计表，完成工程量价款汇总（一式四份）交监理机构。</w:t>
      </w:r>
    </w:p>
    <w:p w14:paraId="6EC8097F">
      <w:pPr>
        <w:spacing w:line="400" w:lineRule="exact"/>
        <w:ind w:firstLine="420" w:firstLineChars="200"/>
        <w:rPr>
          <w:rFonts w:ascii="宋体" w:hAnsi="宋体"/>
          <w:color w:val="000000"/>
        </w:rPr>
      </w:pPr>
      <w:r>
        <w:rPr>
          <w:rFonts w:ascii="宋体" w:hAnsi="宋体"/>
          <w:color w:val="000000"/>
        </w:rPr>
        <w:t>(3)</w:t>
      </w:r>
      <w:r>
        <w:rPr>
          <w:rFonts w:hint="eastAsia" w:ascii="宋体" w:hAnsi="宋体"/>
          <w:color w:val="000000"/>
        </w:rPr>
        <w:t>承担施工安全保卫工作及非夜间施工照明的责任和要求：</w:t>
      </w:r>
      <w:r>
        <w:rPr>
          <w:rFonts w:hint="eastAsia" w:ascii="宋体" w:hAnsi="宋体"/>
          <w:b/>
          <w:color w:val="000000"/>
          <w:u w:val="single"/>
        </w:rPr>
        <w:t>承包人在各种危险部位设置明显的安全警示标志，_安全警示标志必须符合国家标准，如发生安全事故，责任概由承包人承担。</w:t>
      </w:r>
    </w:p>
    <w:p w14:paraId="0881459A">
      <w:pPr>
        <w:spacing w:line="400" w:lineRule="exact"/>
        <w:ind w:firstLine="420" w:firstLineChars="200"/>
        <w:rPr>
          <w:rFonts w:ascii="宋体" w:hAnsi="宋体"/>
          <w:color w:val="000000"/>
          <w:u w:val="single"/>
        </w:rPr>
      </w:pPr>
      <w:r>
        <w:rPr>
          <w:rFonts w:ascii="宋体" w:hAnsi="宋体"/>
          <w:color w:val="000000"/>
        </w:rPr>
        <w:t>(4)</w:t>
      </w:r>
      <w:r>
        <w:rPr>
          <w:rFonts w:hint="eastAsia" w:ascii="宋体" w:hAnsi="宋体"/>
          <w:color w:val="000000"/>
        </w:rPr>
        <w:t>向发包人提供的办公和生活房屋及设施的要求：</w:t>
      </w:r>
      <w:r>
        <w:rPr>
          <w:rFonts w:hint="eastAsia" w:ascii="宋体" w:hAnsi="宋体"/>
          <w:b/>
          <w:color w:val="000000"/>
          <w:u w:val="single"/>
        </w:rPr>
        <w:t>无偿提供监理、发包人办公室等办公设施。</w:t>
      </w:r>
    </w:p>
    <w:p w14:paraId="1C241F8F">
      <w:pPr>
        <w:spacing w:line="400" w:lineRule="exact"/>
        <w:ind w:firstLine="420" w:firstLineChars="200"/>
        <w:rPr>
          <w:rFonts w:ascii="宋体" w:hAnsi="宋体"/>
          <w:color w:val="000000"/>
          <w:highlight w:val="yellow"/>
        </w:rPr>
      </w:pPr>
      <w:r>
        <w:rPr>
          <w:rFonts w:ascii="宋体" w:hAnsi="宋体"/>
          <w:color w:val="000000"/>
        </w:rPr>
        <w:t>(5)</w:t>
      </w:r>
      <w:r>
        <w:rPr>
          <w:rFonts w:hint="eastAsia" w:ascii="宋体" w:hAnsi="宋体"/>
          <w:color w:val="000000"/>
        </w:rPr>
        <w:t>需承包人提供的各专</w:t>
      </w:r>
      <w:r>
        <w:rPr>
          <w:rFonts w:hint="eastAsia" w:ascii="宋体" w:hAnsi="宋体"/>
          <w:color w:val="000000"/>
          <w:highlight w:val="none"/>
        </w:rPr>
        <w:t>项方案：</w:t>
      </w:r>
      <w:r>
        <w:rPr>
          <w:rFonts w:hint="eastAsia" w:ascii="宋体" w:hAnsi="宋体"/>
          <w:b/>
          <w:color w:val="000000"/>
          <w:highlight w:val="none"/>
          <w:u w:val="single"/>
        </w:rPr>
        <w:t>①提供经总监理工程师批准的并经专家论证的深基坑专项方案</w:t>
      </w:r>
      <w:r>
        <w:rPr>
          <w:rFonts w:hint="eastAsia" w:ascii="宋体" w:hAnsi="宋体" w:cs="宋体"/>
          <w:b/>
          <w:highlight w:val="none"/>
          <w:u w:val="single"/>
          <w:lang w:eastAsia="zh-CN"/>
        </w:rPr>
        <w:t>（</w:t>
      </w:r>
      <w:r>
        <w:rPr>
          <w:rFonts w:hint="eastAsia" w:ascii="宋体" w:hAnsi="宋体" w:cs="宋体"/>
          <w:b/>
          <w:highlight w:val="none"/>
          <w:u w:val="single"/>
          <w:lang w:val="en-US" w:eastAsia="zh-CN"/>
        </w:rPr>
        <w:t>包括不限于施工方案、监测方案</w:t>
      </w:r>
      <w:r>
        <w:rPr>
          <w:rFonts w:hint="eastAsia" w:ascii="宋体" w:hAnsi="宋体" w:cs="宋体"/>
          <w:b/>
          <w:highlight w:val="none"/>
          <w:u w:val="single"/>
          <w:lang w:eastAsia="zh-CN"/>
        </w:rPr>
        <w:t>）</w:t>
      </w:r>
      <w:r>
        <w:rPr>
          <w:rFonts w:hint="eastAsia" w:ascii="宋体" w:hAnsi="宋体"/>
          <w:b/>
          <w:color w:val="000000"/>
          <w:highlight w:val="none"/>
          <w:u w:val="single"/>
        </w:rPr>
        <w:t>；②提供符合有关技术标准、规范要求的施工方案及施工现场管理方案；③提供切实可行的交通组织方案；④提供处置施工险情和意外事故的应急处置方案，以上方案涉及的相关费用均包含在投标报价中。</w:t>
      </w:r>
    </w:p>
    <w:p w14:paraId="593DA415">
      <w:pPr>
        <w:spacing w:line="400" w:lineRule="exact"/>
        <w:ind w:firstLine="420" w:firstLineChars="200"/>
        <w:rPr>
          <w:rFonts w:ascii="宋体" w:hAnsi="宋体"/>
          <w:color w:val="000000"/>
        </w:rPr>
      </w:pPr>
      <w:r>
        <w:rPr>
          <w:rFonts w:ascii="宋体" w:hAnsi="宋体"/>
          <w:color w:val="000000"/>
        </w:rPr>
        <w:t>(</w:t>
      </w:r>
      <w:r>
        <w:rPr>
          <w:rFonts w:hint="eastAsia" w:ascii="宋体" w:hAnsi="宋体"/>
          <w:color w:val="000000"/>
        </w:rPr>
        <w:t>6</w:t>
      </w:r>
      <w:r>
        <w:rPr>
          <w:rFonts w:ascii="宋体" w:hAnsi="宋体"/>
          <w:color w:val="000000"/>
        </w:rPr>
        <w:t>)</w:t>
      </w:r>
      <w:r>
        <w:rPr>
          <w:rFonts w:hint="eastAsia" w:ascii="宋体" w:hAnsi="宋体"/>
          <w:color w:val="000000"/>
        </w:rPr>
        <w:t>需承包人办理的有关施工场地交通、环卫环保和施工噪音管理等手续：</w:t>
      </w:r>
    </w:p>
    <w:p w14:paraId="08B86003">
      <w:pPr>
        <w:spacing w:line="400" w:lineRule="exact"/>
        <w:ind w:firstLine="422" w:firstLineChars="200"/>
        <w:rPr>
          <w:rFonts w:ascii="宋体" w:hAnsi="宋体"/>
          <w:b/>
          <w:color w:val="000000"/>
          <w:u w:val="single"/>
        </w:rPr>
      </w:pPr>
      <w:r>
        <w:rPr>
          <w:rFonts w:hint="eastAsia" w:ascii="宋体" w:hAnsi="宋体"/>
          <w:b/>
          <w:color w:val="000000"/>
          <w:u w:val="single"/>
        </w:rPr>
        <w:t>遵守政府有关主管部门对施工场地交通、施工噪音、环境保护和安全生产等的管理规定，按规定办理有关手续，并以书面形式通知发包人，所有费用均已含在合同价中。</w:t>
      </w:r>
    </w:p>
    <w:p w14:paraId="32CF28F5">
      <w:pPr>
        <w:spacing w:line="400" w:lineRule="exact"/>
        <w:ind w:firstLine="420" w:firstLineChars="200"/>
        <w:rPr>
          <w:rFonts w:ascii="宋体" w:hAnsi="宋体"/>
          <w:b/>
          <w:color w:val="000000"/>
        </w:rPr>
      </w:pPr>
      <w:r>
        <w:rPr>
          <w:rFonts w:ascii="宋体" w:hAnsi="宋体"/>
          <w:color w:val="000000"/>
        </w:rPr>
        <w:t>(</w:t>
      </w:r>
      <w:r>
        <w:rPr>
          <w:rFonts w:hint="eastAsia" w:ascii="宋体" w:hAnsi="宋体"/>
          <w:color w:val="000000"/>
        </w:rPr>
        <w:t>7</w:t>
      </w:r>
      <w:r>
        <w:rPr>
          <w:rFonts w:ascii="宋体" w:hAnsi="宋体"/>
          <w:color w:val="000000"/>
        </w:rPr>
        <w:t>)</w:t>
      </w:r>
      <w:r>
        <w:rPr>
          <w:rFonts w:hint="eastAsia" w:ascii="宋体" w:hAnsi="宋体"/>
          <w:color w:val="000000"/>
        </w:rPr>
        <w:t>已完工程成品保护的特殊要求及费用承担：</w:t>
      </w:r>
      <w:r>
        <w:rPr>
          <w:rFonts w:hint="eastAsia" w:ascii="宋体" w:hAnsi="宋体"/>
          <w:b/>
          <w:color w:val="000000"/>
          <w:u w:val="single"/>
        </w:rPr>
        <w:t xml:space="preserve">已竣工工程未交付发包人之前，负责已完成工程的保护工作，所需费用含在合同价内。 </w:t>
      </w:r>
    </w:p>
    <w:p w14:paraId="100A4172">
      <w:pPr>
        <w:spacing w:line="400" w:lineRule="exact"/>
        <w:ind w:firstLine="420" w:firstLineChars="200"/>
        <w:rPr>
          <w:rFonts w:ascii="宋体" w:hAnsi="宋体"/>
          <w:color w:val="000000"/>
          <w:u w:val="single"/>
        </w:rPr>
      </w:pPr>
      <w:r>
        <w:rPr>
          <w:rFonts w:ascii="宋体" w:hAnsi="宋体"/>
          <w:color w:val="000000"/>
        </w:rPr>
        <w:t>(</w:t>
      </w:r>
      <w:r>
        <w:rPr>
          <w:rFonts w:hint="eastAsia" w:ascii="宋体" w:hAnsi="宋体"/>
          <w:color w:val="000000"/>
        </w:rPr>
        <w:t>8</w:t>
      </w:r>
      <w:r>
        <w:rPr>
          <w:rFonts w:ascii="宋体" w:hAnsi="宋体"/>
          <w:color w:val="000000"/>
        </w:rPr>
        <w:t>)</w:t>
      </w:r>
      <w:r>
        <w:rPr>
          <w:rFonts w:hint="eastAsia" w:ascii="宋体" w:hAnsi="宋体"/>
          <w:color w:val="000000"/>
        </w:rPr>
        <w:t>施工场地周围地下管线和邻近建筑物、构筑物（含文物保护建筑）、古树名木的保护要求及费用承担</w:t>
      </w:r>
      <w:r>
        <w:rPr>
          <w:rFonts w:hint="eastAsia" w:ascii="宋体" w:hAnsi="宋体"/>
          <w:color w:val="000000"/>
          <w:u w:val="single"/>
        </w:rPr>
        <w:t>：</w:t>
      </w:r>
      <w:r>
        <w:rPr>
          <w:rFonts w:hint="eastAsia" w:ascii="宋体" w:hAnsi="宋体"/>
          <w:b/>
          <w:color w:val="000000"/>
          <w:u w:val="single"/>
        </w:rPr>
        <w:t>负责做好施工场地周围地下管线和邻近建筑物、构筑物（含文物保护建筑）、古树名木保护措施，所需费用包含在投标报价内。</w:t>
      </w:r>
    </w:p>
    <w:p w14:paraId="079BD06A">
      <w:pPr>
        <w:spacing w:line="400" w:lineRule="exact"/>
        <w:ind w:firstLine="420" w:firstLineChars="200"/>
        <w:rPr>
          <w:rFonts w:ascii="宋体" w:hAnsi="宋体"/>
          <w:b/>
          <w:color w:val="000000"/>
          <w:u w:val="single"/>
        </w:rPr>
      </w:pPr>
      <w:r>
        <w:rPr>
          <w:rFonts w:ascii="宋体" w:hAnsi="宋体"/>
          <w:color w:val="000000"/>
        </w:rPr>
        <w:t>(</w:t>
      </w:r>
      <w:r>
        <w:rPr>
          <w:rFonts w:hint="eastAsia" w:ascii="宋体" w:hAnsi="宋体"/>
          <w:color w:val="000000"/>
        </w:rPr>
        <w:t>9</w:t>
      </w:r>
      <w:r>
        <w:rPr>
          <w:rFonts w:ascii="宋体" w:hAnsi="宋体"/>
          <w:color w:val="000000"/>
        </w:rPr>
        <w:t>)</w:t>
      </w:r>
      <w:r>
        <w:rPr>
          <w:rFonts w:hint="eastAsia" w:ascii="宋体" w:hAnsi="宋体"/>
          <w:color w:val="000000"/>
        </w:rPr>
        <w:t>施工场地清洁卫生的要求：</w:t>
      </w:r>
      <w:r>
        <w:rPr>
          <w:rFonts w:hint="eastAsia" w:ascii="宋体" w:hAnsi="宋体"/>
          <w:b/>
          <w:color w:val="000000"/>
          <w:u w:val="single"/>
        </w:rPr>
        <w:t>施工现场材料堆放要整齐，并有遮盖，不得扬尘，机械停放有序，符合清洁卫生要求，承担因自身原因违反有关规定造成的损失和罚款，交工前将所有建筑垃圾从施工场地清除，将所有剩余的建筑材料运走或运至指定地点堆放，将所有施工机械和设备从施工场地运走。</w:t>
      </w:r>
    </w:p>
    <w:p w14:paraId="636013EC">
      <w:pPr>
        <w:spacing w:line="400" w:lineRule="exact"/>
        <w:ind w:firstLine="420" w:firstLineChars="200"/>
        <w:rPr>
          <w:rFonts w:ascii="宋体" w:hAnsi="宋体"/>
          <w:b/>
          <w:color w:val="000000"/>
          <w:u w:val="single"/>
        </w:rPr>
      </w:pPr>
      <w:r>
        <w:rPr>
          <w:rFonts w:ascii="宋体" w:hAnsi="宋体"/>
          <w:color w:val="000000"/>
        </w:rPr>
        <w:t>(</w:t>
      </w:r>
      <w:r>
        <w:rPr>
          <w:rFonts w:hint="eastAsia" w:ascii="宋体" w:hAnsi="宋体"/>
          <w:color w:val="000000"/>
        </w:rPr>
        <w:t>10</w:t>
      </w:r>
      <w:r>
        <w:rPr>
          <w:rFonts w:ascii="宋体" w:hAnsi="宋体"/>
          <w:color w:val="000000"/>
        </w:rPr>
        <w:t>)</w:t>
      </w:r>
      <w:r>
        <w:rPr>
          <w:rFonts w:hint="eastAsia" w:ascii="宋体" w:hAnsi="宋体"/>
          <w:color w:val="000000"/>
        </w:rPr>
        <w:t>双方约定承包人应做的其他工作：</w:t>
      </w:r>
      <w:r>
        <w:rPr>
          <w:rFonts w:hint="eastAsia" w:ascii="宋体" w:hAnsi="宋体"/>
          <w:b/>
          <w:color w:val="000000"/>
          <w:u w:val="single"/>
        </w:rPr>
        <w:t xml:space="preserve">施工场地要设立标语、标牌，做到文明施工，树立企业形象，主动接受社会监督和有关部门的管理。混凝土路面浇筑均商品砼。处理好施工过程中与小区居民之间的关系，因承包人的责任造成的财产和人身损失，由承包人承担相关费用和赔偿，造成工期延误由承包人负责。  </w:t>
      </w:r>
    </w:p>
    <w:p w14:paraId="1362A1CE">
      <w:pPr>
        <w:spacing w:line="400" w:lineRule="exact"/>
        <w:ind w:firstLine="420" w:firstLineChars="200"/>
        <w:rPr>
          <w:rFonts w:ascii="宋体" w:hAnsi="宋体"/>
          <w:b/>
          <w:color w:val="000000"/>
          <w:u w:val="single"/>
        </w:rPr>
      </w:pPr>
      <w:r>
        <w:rPr>
          <w:rFonts w:hint="eastAsia" w:ascii="宋体" w:hAnsi="宋体"/>
          <w:color w:val="000000"/>
        </w:rPr>
        <w:t>(11)承包人应做的其他工作：</w:t>
      </w:r>
      <w:r>
        <w:rPr>
          <w:rFonts w:hint="eastAsia" w:ascii="宋体" w:hAnsi="宋体"/>
          <w:b/>
          <w:color w:val="000000"/>
          <w:u w:val="single"/>
        </w:rPr>
        <w:t>①在本合同签订后至开工前，承包人应积极做好开工前的各项准备工作；②项目经理必须保证每周出勤不少于5天，或每周正常施工期间在工地不少于28小时，每月由监理人负责检查考核，并报发包人；承包人投标时确定的项目班子组成人员不得擅自更换，且应在项目现场工作；③承包人的项目经理必须参加工程例会并汇报工程情况，工程竣工前项目经理请假经批准最多不超过三次，三次以上每缺会一次扣罚人民币壹仟元，由监理在下一次的工程预付款中明确扣除款额。④承包人应及时按发包人和监理工程师的通知或要求参加各种会议和协调，作出有利于工程建设施工的建议或结论，否则引起的后果由承包人自负。</w:t>
      </w:r>
    </w:p>
    <w:p w14:paraId="18AE9B95">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三、施工组织设计和工期</w:t>
      </w:r>
    </w:p>
    <w:p w14:paraId="0DE46C80">
      <w:pPr>
        <w:spacing w:line="400" w:lineRule="exact"/>
        <w:ind w:firstLine="422" w:firstLineChars="200"/>
        <w:rPr>
          <w:rFonts w:ascii="宋体" w:hAnsi="宋体"/>
          <w:b/>
          <w:color w:val="000000"/>
        </w:rPr>
      </w:pPr>
      <w:r>
        <w:rPr>
          <w:rFonts w:hint="eastAsia" w:ascii="宋体" w:hAnsi="宋体"/>
          <w:b/>
          <w:color w:val="000000"/>
        </w:rPr>
        <w:t>10、进度计划</w:t>
      </w:r>
    </w:p>
    <w:p w14:paraId="6B406D16">
      <w:pPr>
        <w:spacing w:line="400" w:lineRule="exact"/>
        <w:ind w:firstLine="420" w:firstLineChars="200"/>
        <w:rPr>
          <w:rFonts w:ascii="宋体" w:hAnsi="宋体"/>
          <w:b/>
          <w:color w:val="000000"/>
          <w:u w:val="single"/>
        </w:rPr>
      </w:pPr>
      <w:r>
        <w:rPr>
          <w:rFonts w:ascii="宋体" w:hAnsi="宋体"/>
          <w:color w:val="000000"/>
        </w:rPr>
        <w:t>10.1</w:t>
      </w:r>
      <w:r>
        <w:rPr>
          <w:rFonts w:hint="eastAsia" w:ascii="宋体" w:hAnsi="宋体"/>
          <w:color w:val="000000"/>
        </w:rPr>
        <w:t>承包人提供施工组织设计（施工方案）和进度计划的时间：</w:t>
      </w:r>
      <w:r>
        <w:rPr>
          <w:rFonts w:hint="eastAsia" w:ascii="宋体" w:hAnsi="宋体"/>
          <w:b/>
          <w:color w:val="000000"/>
          <w:u w:val="single"/>
        </w:rPr>
        <w:t>承包人在开工前3天提供本工程施工组织设计和工程总进度计划</w:t>
      </w:r>
      <w:r>
        <w:rPr>
          <w:rFonts w:hint="eastAsia" w:ascii="宋体" w:hAnsi="宋体"/>
          <w:b/>
          <w:color w:val="000000"/>
        </w:rPr>
        <w:t>。</w:t>
      </w:r>
    </w:p>
    <w:p w14:paraId="7D131253">
      <w:pPr>
        <w:spacing w:line="400" w:lineRule="exact"/>
        <w:ind w:firstLine="420" w:firstLineChars="200"/>
        <w:rPr>
          <w:rFonts w:ascii="宋体" w:hAnsi="宋体"/>
          <w:color w:val="000000"/>
        </w:rPr>
      </w:pPr>
      <w:r>
        <w:rPr>
          <w:rFonts w:hint="eastAsia" w:ascii="宋体" w:hAnsi="宋体"/>
          <w:color w:val="000000"/>
        </w:rPr>
        <w:t>工程师确认的时间：</w:t>
      </w:r>
      <w:r>
        <w:rPr>
          <w:rFonts w:hint="eastAsia" w:ascii="宋体" w:hAnsi="宋体"/>
          <w:b/>
          <w:color w:val="000000"/>
          <w:u w:val="single"/>
        </w:rPr>
        <w:t>接到承包人提供的相关报表后三天内予以确认或提出修改意见</w:t>
      </w:r>
      <w:r>
        <w:rPr>
          <w:rFonts w:hint="eastAsia" w:ascii="宋体" w:hAnsi="宋体"/>
          <w:b/>
          <w:color w:val="000000"/>
        </w:rPr>
        <w:t>。</w:t>
      </w:r>
    </w:p>
    <w:p w14:paraId="7236369A">
      <w:pPr>
        <w:spacing w:line="400" w:lineRule="exact"/>
        <w:ind w:firstLine="420" w:firstLineChars="200"/>
        <w:rPr>
          <w:rFonts w:ascii="宋体" w:hAnsi="宋体"/>
          <w:color w:val="000000"/>
        </w:rPr>
      </w:pPr>
      <w:r>
        <w:rPr>
          <w:rFonts w:ascii="宋体" w:hAnsi="宋体"/>
          <w:color w:val="000000"/>
        </w:rPr>
        <w:t>10.2</w:t>
      </w:r>
      <w:r>
        <w:rPr>
          <w:rFonts w:hint="eastAsia" w:ascii="宋体" w:hAnsi="宋体"/>
          <w:color w:val="000000"/>
        </w:rPr>
        <w:t>施工月进度计划：第一次在开工前3日，以后在每月的最初7日内。</w:t>
      </w:r>
    </w:p>
    <w:p w14:paraId="50D512FF">
      <w:pPr>
        <w:spacing w:line="400" w:lineRule="exact"/>
        <w:ind w:firstLine="420" w:firstLineChars="200"/>
        <w:rPr>
          <w:rFonts w:ascii="宋体" w:hAnsi="宋体"/>
          <w:color w:val="000000"/>
        </w:rPr>
      </w:pPr>
      <w:r>
        <w:rPr>
          <w:rFonts w:hint="eastAsia" w:ascii="宋体" w:hAnsi="宋体"/>
          <w:color w:val="000000"/>
        </w:rPr>
        <w:t>10.3施工进度统计报表：在每月月未的7日内，将上月进度统计报表与本月施工进度计划同时提供。</w:t>
      </w:r>
    </w:p>
    <w:p w14:paraId="5FB2C682">
      <w:pPr>
        <w:spacing w:line="400" w:lineRule="exact"/>
        <w:ind w:firstLine="420" w:firstLineChars="200"/>
        <w:rPr>
          <w:rFonts w:ascii="宋体" w:hAnsi="宋体"/>
          <w:color w:val="000000"/>
          <w:u w:val="single"/>
        </w:rPr>
      </w:pPr>
      <w:r>
        <w:rPr>
          <w:rFonts w:hint="eastAsia" w:ascii="宋体" w:hAnsi="宋体"/>
          <w:color w:val="000000"/>
        </w:rPr>
        <w:t>10.4工程师确认时间：收到上述文件后7日内予以确认。</w:t>
      </w:r>
    </w:p>
    <w:p w14:paraId="6BB471B2">
      <w:pPr>
        <w:spacing w:line="400" w:lineRule="exact"/>
        <w:ind w:firstLine="422" w:firstLineChars="200"/>
        <w:rPr>
          <w:rFonts w:ascii="宋体" w:hAnsi="宋体"/>
          <w:b/>
          <w:color w:val="000000"/>
        </w:rPr>
      </w:pPr>
      <w:r>
        <w:rPr>
          <w:rFonts w:hint="eastAsia" w:ascii="宋体" w:hAnsi="宋体"/>
          <w:b/>
          <w:color w:val="000000"/>
        </w:rPr>
        <w:t>13、工期延误</w:t>
      </w:r>
    </w:p>
    <w:p w14:paraId="6BC3518D">
      <w:pPr>
        <w:spacing w:line="400" w:lineRule="exact"/>
        <w:ind w:firstLine="420" w:firstLineChars="200"/>
        <w:rPr>
          <w:rFonts w:ascii="宋体" w:hAnsi="宋体"/>
          <w:b/>
          <w:color w:val="000000"/>
          <w:u w:val="single"/>
        </w:rPr>
      </w:pPr>
      <w:r>
        <w:rPr>
          <w:rFonts w:ascii="宋体" w:hAnsi="宋体"/>
          <w:color w:val="000000"/>
        </w:rPr>
        <w:t>13.1</w:t>
      </w:r>
      <w:r>
        <w:rPr>
          <w:rFonts w:hint="eastAsia" w:ascii="宋体" w:hAnsi="宋体"/>
          <w:color w:val="000000"/>
        </w:rPr>
        <w:t>双方约定工期顺延的其他情况：</w:t>
      </w:r>
      <w:r>
        <w:rPr>
          <w:rFonts w:hint="eastAsia" w:ascii="宋体" w:hAnsi="宋体"/>
          <w:b/>
          <w:color w:val="000000"/>
          <w:u w:val="single"/>
        </w:rPr>
        <w:t>因发包人原因或发生其他不可抗力因素影响工期，造成工期延长的，承包人需办理延期手续，批准后方可顺延工期；因施工单位原因延误总工期每延迟一天罚款1000元，超过10天工期保证金不退还，并处以工程结算价为基数每天千分之五罚款，其他按通用条款中约定的内容执行。工期保证金为工程</w:t>
      </w:r>
      <w:r>
        <w:rPr>
          <w:rFonts w:hint="eastAsia" w:ascii="宋体" w:hAnsi="宋体"/>
          <w:b/>
          <w:color w:val="000000"/>
          <w:highlight w:val="none"/>
          <w:u w:val="single"/>
        </w:rPr>
        <w:t>合同价的4%。</w:t>
      </w:r>
    </w:p>
    <w:p w14:paraId="34838DCD">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四、质量与验收</w:t>
      </w:r>
    </w:p>
    <w:p w14:paraId="009E319C">
      <w:pPr>
        <w:spacing w:line="400" w:lineRule="exact"/>
        <w:ind w:firstLine="422" w:firstLineChars="200"/>
        <w:rPr>
          <w:rFonts w:ascii="宋体" w:hAnsi="宋体"/>
          <w:b/>
          <w:color w:val="000000"/>
        </w:rPr>
      </w:pPr>
      <w:r>
        <w:rPr>
          <w:rFonts w:hint="eastAsia" w:ascii="宋体" w:hAnsi="宋体"/>
          <w:b/>
          <w:color w:val="000000"/>
        </w:rPr>
        <w:t>17、隐蔽工程和中间验收</w:t>
      </w:r>
    </w:p>
    <w:p w14:paraId="6A20F3C1">
      <w:pPr>
        <w:spacing w:line="400" w:lineRule="exact"/>
        <w:ind w:firstLine="420" w:firstLineChars="200"/>
        <w:rPr>
          <w:rFonts w:ascii="宋体" w:hAnsi="宋体"/>
          <w:b/>
          <w:color w:val="000000"/>
          <w:u w:val="single"/>
        </w:rPr>
      </w:pPr>
      <w:r>
        <w:rPr>
          <w:rFonts w:ascii="宋体" w:hAnsi="宋体"/>
          <w:color w:val="000000"/>
        </w:rPr>
        <w:t>17.1</w:t>
      </w:r>
      <w:r>
        <w:rPr>
          <w:rFonts w:hint="eastAsia" w:ascii="宋体" w:hAnsi="宋体"/>
          <w:color w:val="000000"/>
        </w:rPr>
        <w:t>双方约定中间验收部位：</w:t>
      </w:r>
      <w:r>
        <w:rPr>
          <w:rFonts w:hint="eastAsia" w:ascii="宋体" w:hAnsi="宋体"/>
          <w:b/>
          <w:color w:val="000000"/>
          <w:u w:val="single"/>
        </w:rPr>
        <w:t>根据工程规模和质监部门要求确定。如不能达到招标文件规定的质量要求，发包人有权从工程款中直接扣除5000元/次。并由承包人承担责任及返工修复并承担费用，直至验收合格为止。关键工序施工完毕后，须经监理、发包人验收合格并签字后（承包人应在验收前向发包人提交三检记录，施工交底记录等资料），方可进行下道工序施工。</w:t>
      </w:r>
    </w:p>
    <w:p w14:paraId="1CC6C0E7">
      <w:pPr>
        <w:spacing w:line="400" w:lineRule="exact"/>
        <w:ind w:firstLine="422" w:firstLineChars="200"/>
        <w:rPr>
          <w:rFonts w:ascii="宋体" w:hAnsi="宋体"/>
          <w:b/>
          <w:color w:val="000000"/>
        </w:rPr>
      </w:pPr>
      <w:r>
        <w:rPr>
          <w:rFonts w:ascii="宋体" w:hAnsi="宋体"/>
          <w:b/>
          <w:color w:val="000000"/>
        </w:rPr>
        <w:t>19</w:t>
      </w:r>
      <w:r>
        <w:rPr>
          <w:rFonts w:hint="eastAsia" w:ascii="宋体" w:hAnsi="宋体"/>
          <w:b/>
          <w:color w:val="000000"/>
        </w:rPr>
        <w:t>、工程试车</w:t>
      </w:r>
    </w:p>
    <w:p w14:paraId="05C93A97">
      <w:pPr>
        <w:spacing w:line="400" w:lineRule="exact"/>
        <w:ind w:firstLine="420" w:firstLineChars="200"/>
        <w:rPr>
          <w:rFonts w:ascii="宋体" w:hAnsi="宋体"/>
          <w:color w:val="000000"/>
          <w:sz w:val="24"/>
          <w:szCs w:val="24"/>
        </w:rPr>
      </w:pPr>
      <w:r>
        <w:rPr>
          <w:rFonts w:hint="eastAsia" w:ascii="宋体" w:hAnsi="宋体"/>
          <w:color w:val="000000"/>
        </w:rPr>
        <w:t>19.5试车费用的承担：</w:t>
      </w:r>
      <w:r>
        <w:rPr>
          <w:rFonts w:hint="eastAsia" w:ascii="宋体" w:hAnsi="宋体"/>
          <w:color w:val="000000"/>
          <w:u w:val="single"/>
        </w:rPr>
        <w:t xml:space="preserve">  试车费包含在本合同价内   </w:t>
      </w:r>
      <w:r>
        <w:rPr>
          <w:rFonts w:hint="eastAsia" w:ascii="宋体" w:hAnsi="宋体"/>
          <w:color w:val="000000"/>
        </w:rPr>
        <w:t>。</w:t>
      </w:r>
    </w:p>
    <w:p w14:paraId="3BCFE59E">
      <w:pPr>
        <w:spacing w:line="440" w:lineRule="exact"/>
        <w:ind w:firstLine="562" w:firstLineChars="200"/>
        <w:rPr>
          <w:rFonts w:ascii="宋体" w:hAnsi="宋体"/>
          <w:b/>
          <w:color w:val="000000"/>
          <w:sz w:val="28"/>
          <w:szCs w:val="24"/>
        </w:rPr>
      </w:pPr>
      <w:r>
        <w:rPr>
          <w:rFonts w:hint="eastAsia" w:ascii="宋体" w:hAnsi="宋体"/>
          <w:b/>
          <w:color w:val="000000"/>
          <w:sz w:val="28"/>
          <w:szCs w:val="24"/>
        </w:rPr>
        <w:t>五、安全施工</w:t>
      </w:r>
    </w:p>
    <w:p w14:paraId="67F9C62C">
      <w:pPr>
        <w:spacing w:line="400" w:lineRule="exact"/>
        <w:ind w:firstLine="420" w:firstLineChars="200"/>
        <w:rPr>
          <w:rFonts w:ascii="宋体" w:hAnsi="宋体"/>
          <w:b/>
          <w:color w:val="000000"/>
        </w:rPr>
      </w:pPr>
      <w:r>
        <w:rPr>
          <w:rFonts w:hint="eastAsia" w:ascii="宋体" w:hAnsi="宋体"/>
          <w:color w:val="000000"/>
        </w:rPr>
        <w:t>安全施工：</w:t>
      </w:r>
      <w:r>
        <w:rPr>
          <w:rFonts w:hint="eastAsia" w:ascii="宋体" w:hAnsi="宋体"/>
          <w:b/>
          <w:color w:val="000000"/>
          <w:u w:val="single"/>
        </w:rPr>
        <w:t>承包人应严格按工程建设安全生产的有关规定，采取安全措施组织施工。若发生安全事故，一切责任由承包人承担，与发包方无关。</w:t>
      </w:r>
    </w:p>
    <w:p w14:paraId="1CE90D95">
      <w:pPr>
        <w:widowControl/>
        <w:spacing w:line="400" w:lineRule="exact"/>
        <w:ind w:firstLine="420" w:firstLineChars="200"/>
        <w:jc w:val="left"/>
        <w:rPr>
          <w:rFonts w:ascii="宋体" w:hAnsi="宋体"/>
          <w:color w:val="000000"/>
          <w:u w:val="single"/>
        </w:rPr>
      </w:pPr>
      <w:r>
        <w:rPr>
          <w:rFonts w:hint="eastAsia" w:ascii="宋体" w:hAnsi="宋体"/>
          <w:color w:val="000000"/>
          <w:u w:val="single"/>
        </w:rPr>
        <w:t>承包人对施工现场的安全生产负总责。承包人在工地现场必须配备专职安全员。</w:t>
      </w:r>
    </w:p>
    <w:p w14:paraId="2365400D">
      <w:pPr>
        <w:widowControl/>
        <w:spacing w:line="400" w:lineRule="exact"/>
        <w:ind w:firstLine="420" w:firstLineChars="200"/>
        <w:jc w:val="left"/>
        <w:rPr>
          <w:rFonts w:ascii="宋体" w:hAnsi="宋体"/>
          <w:color w:val="000000"/>
          <w:u w:val="single"/>
        </w:rPr>
      </w:pPr>
      <w:r>
        <w:rPr>
          <w:rFonts w:hint="eastAsia" w:ascii="宋体" w:hAnsi="宋体"/>
          <w:color w:val="000000"/>
          <w:u w:val="single"/>
        </w:rPr>
        <w:t>承包人施工组织设计中必须编制安全技术措施和施工现场临时用电方案，对达到一定规模的危险性较大的分部分项工程编制专项施工方案，并附安全验算结果，经施工单位技术负责人、总监理工程师签字后实施，由专职安全员进行现场监督。</w:t>
      </w:r>
    </w:p>
    <w:p w14:paraId="162BA139">
      <w:pPr>
        <w:widowControl/>
        <w:spacing w:line="400" w:lineRule="exact"/>
        <w:ind w:firstLine="420" w:firstLineChars="200"/>
        <w:jc w:val="left"/>
        <w:rPr>
          <w:rFonts w:ascii="宋体" w:hAnsi="宋体"/>
          <w:color w:val="000000"/>
          <w:u w:val="single"/>
        </w:rPr>
      </w:pPr>
      <w:r>
        <w:rPr>
          <w:rFonts w:hint="eastAsia" w:ascii="宋体" w:hAnsi="宋体"/>
          <w:color w:val="000000"/>
          <w:u w:val="single"/>
        </w:rPr>
        <w:t>承包人使用的安全防护用具、机械设备、施工机具及配件，应当具有生产（制造）许可证、产品合格证，并在进入施工现场前进行查验，经监理工程师签字确认后方可使用。</w:t>
      </w:r>
    </w:p>
    <w:p w14:paraId="7F8C82CB">
      <w:pPr>
        <w:widowControl/>
        <w:spacing w:line="400" w:lineRule="exact"/>
        <w:ind w:firstLine="420" w:firstLineChars="200"/>
        <w:jc w:val="left"/>
        <w:rPr>
          <w:rFonts w:ascii="宋体" w:hAnsi="宋体"/>
          <w:color w:val="000000"/>
          <w:u w:val="single"/>
        </w:rPr>
      </w:pPr>
      <w:r>
        <w:rPr>
          <w:rFonts w:hint="eastAsia" w:ascii="宋体" w:hAnsi="宋体"/>
          <w:color w:val="000000"/>
          <w:u w:val="single"/>
        </w:rPr>
        <w:t>承包人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72DDC98D">
      <w:pPr>
        <w:widowControl/>
        <w:spacing w:line="400" w:lineRule="exact"/>
        <w:ind w:firstLine="420" w:firstLineChars="200"/>
        <w:jc w:val="left"/>
        <w:rPr>
          <w:rFonts w:ascii="宋体" w:hAnsi="宋体"/>
          <w:color w:val="000000"/>
          <w:u w:val="single"/>
        </w:rPr>
      </w:pPr>
      <w:r>
        <w:rPr>
          <w:rFonts w:hint="eastAsia" w:ascii="宋体" w:hAnsi="宋体"/>
          <w:color w:val="000000"/>
          <w:u w:val="single"/>
        </w:rPr>
        <w:t>承包人若不按工程建设安全生</w:t>
      </w:r>
      <w:r>
        <w:rPr>
          <w:rFonts w:hint="eastAsia" w:ascii="宋体" w:hAnsi="宋体"/>
          <w:color w:val="000000"/>
          <w:highlight w:val="none"/>
          <w:u w:val="single"/>
        </w:rPr>
        <w:t>产的有关规定组织施工及设置安全设施，发包人将没收安全保证金。本工程设安全保证金为合同价的</w:t>
      </w:r>
      <w:r>
        <w:rPr>
          <w:rFonts w:hint="eastAsia" w:ascii="宋体" w:hAnsi="宋体"/>
          <w:color w:val="000000"/>
          <w:highlight w:val="none"/>
          <w:u w:val="single"/>
          <w:lang w:val="en-US" w:eastAsia="zh-CN"/>
        </w:rPr>
        <w:t>6</w:t>
      </w:r>
      <w:r>
        <w:rPr>
          <w:rFonts w:hint="eastAsia" w:ascii="宋体" w:hAnsi="宋体"/>
          <w:color w:val="000000"/>
          <w:highlight w:val="none"/>
          <w:u w:val="single"/>
        </w:rPr>
        <w:t>%。</w:t>
      </w:r>
    </w:p>
    <w:p w14:paraId="5CC66525">
      <w:pPr>
        <w:spacing w:line="440" w:lineRule="exact"/>
        <w:ind w:firstLine="562" w:firstLineChars="200"/>
        <w:jc w:val="center"/>
        <w:rPr>
          <w:rFonts w:ascii="宋体" w:hAnsi="宋体"/>
          <w:b/>
          <w:bCs/>
          <w:color w:val="000000"/>
          <w:sz w:val="28"/>
          <w:szCs w:val="24"/>
        </w:rPr>
      </w:pPr>
      <w:r>
        <w:rPr>
          <w:rFonts w:hint="eastAsia" w:ascii="宋体" w:hAnsi="宋体"/>
          <w:b/>
          <w:bCs/>
          <w:color w:val="000000"/>
          <w:sz w:val="28"/>
          <w:szCs w:val="24"/>
        </w:rPr>
        <w:t>六、合同价款与支付</w:t>
      </w:r>
    </w:p>
    <w:p w14:paraId="29CE6EFD">
      <w:pPr>
        <w:spacing w:line="400" w:lineRule="exact"/>
        <w:ind w:firstLine="422" w:firstLineChars="200"/>
        <w:rPr>
          <w:rFonts w:ascii="宋体" w:hAnsi="宋体"/>
          <w:b/>
          <w:bCs/>
          <w:color w:val="000000"/>
        </w:rPr>
      </w:pPr>
      <w:r>
        <w:rPr>
          <w:rFonts w:hint="eastAsia" w:ascii="宋体" w:hAnsi="宋体"/>
          <w:b/>
          <w:bCs/>
          <w:color w:val="000000"/>
        </w:rPr>
        <w:t>23.合同价款及调整</w:t>
      </w:r>
    </w:p>
    <w:p w14:paraId="43A1C8BD">
      <w:pPr>
        <w:spacing w:line="400" w:lineRule="exact"/>
        <w:ind w:firstLine="420" w:firstLineChars="200"/>
        <w:rPr>
          <w:rFonts w:ascii="宋体" w:hAnsi="宋体"/>
          <w:color w:val="000000"/>
        </w:rPr>
      </w:pPr>
      <w:r>
        <w:rPr>
          <w:rFonts w:hint="eastAsia" w:ascii="宋体" w:hAnsi="宋体"/>
          <w:color w:val="000000"/>
        </w:rPr>
        <w:t>本合同价款采用</w:t>
      </w:r>
      <w:r>
        <w:rPr>
          <w:rFonts w:hint="eastAsia" w:ascii="宋体" w:hAnsi="宋体"/>
          <w:b/>
          <w:bCs/>
          <w:color w:val="000000"/>
          <w:u w:val="single"/>
        </w:rPr>
        <w:t xml:space="preserve">  采用固定总价合同   </w:t>
      </w:r>
      <w:r>
        <w:rPr>
          <w:rFonts w:hint="eastAsia" w:ascii="宋体" w:hAnsi="宋体"/>
          <w:color w:val="000000"/>
        </w:rPr>
        <w:t xml:space="preserve"> 方式确定。</w:t>
      </w:r>
    </w:p>
    <w:p w14:paraId="61DD1933">
      <w:pPr>
        <w:spacing w:line="400" w:lineRule="exact"/>
        <w:ind w:firstLine="420" w:firstLineChars="200"/>
        <w:rPr>
          <w:rFonts w:ascii="宋体" w:hAnsi="宋体"/>
          <w:color w:val="000000"/>
          <w:u w:val="single"/>
        </w:rPr>
      </w:pPr>
      <w:r>
        <w:rPr>
          <w:rFonts w:hint="eastAsia" w:ascii="宋体" w:hAnsi="宋体"/>
          <w:color w:val="000000"/>
        </w:rPr>
        <w:t>23.1合同价中包括的风险范围：</w:t>
      </w:r>
      <w:r>
        <w:rPr>
          <w:rFonts w:hint="eastAsia" w:ascii="宋体" w:hAnsi="宋体"/>
          <w:color w:val="000000"/>
          <w:u w:val="single"/>
        </w:rPr>
        <w:t>施工期间的政策性调整及市场风险，结算时不作调整。</w:t>
      </w:r>
    </w:p>
    <w:p w14:paraId="1ADD3374">
      <w:pPr>
        <w:numPr>
          <w:ilvl w:val="0"/>
          <w:numId w:val="3"/>
        </w:numPr>
        <w:spacing w:line="400" w:lineRule="exact"/>
        <w:ind w:firstLine="422" w:firstLineChars="200"/>
        <w:rPr>
          <w:rFonts w:hint="eastAsia" w:ascii="宋体" w:hAnsi="宋体"/>
          <w:b/>
          <w:color w:val="000000"/>
          <w:highlight w:val="none"/>
          <w:u w:val="single"/>
        </w:rPr>
      </w:pPr>
      <w:r>
        <w:rPr>
          <w:rFonts w:hint="eastAsia" w:ascii="宋体" w:hAnsi="宋体" w:cs="宋体"/>
          <w:b/>
          <w:highlight w:val="none"/>
        </w:rPr>
        <w:t>发生变更项目导致局部工程量增</w:t>
      </w:r>
      <w:r>
        <w:rPr>
          <w:rFonts w:hint="eastAsia" w:ascii="宋体" w:hAnsi="宋体" w:cs="宋体"/>
          <w:b/>
          <w:highlight w:val="none"/>
          <w:lang w:val="en-US" w:eastAsia="zh-CN"/>
        </w:rPr>
        <w:t>加</w:t>
      </w:r>
      <w:r>
        <w:rPr>
          <w:rFonts w:hint="eastAsia" w:ascii="宋体" w:hAnsi="宋体" w:cs="宋体"/>
          <w:b/>
          <w:highlight w:val="none"/>
        </w:rPr>
        <w:t>，由此产生的费用变化，</w:t>
      </w:r>
      <w:r>
        <w:rPr>
          <w:rFonts w:hint="eastAsia" w:ascii="宋体" w:hAnsi="宋体" w:cs="宋体"/>
          <w:b/>
          <w:highlight w:val="none"/>
          <w:lang w:val="en-US" w:eastAsia="zh-CN"/>
        </w:rPr>
        <w:t>增加部分决算金额低于2万元（含2万元）的，</w:t>
      </w:r>
      <w:r>
        <w:rPr>
          <w:rFonts w:hint="eastAsia" w:ascii="宋体" w:hAnsi="宋体" w:cs="宋体"/>
          <w:b/>
          <w:highlight w:val="none"/>
        </w:rPr>
        <w:t>结算时不作调整</w:t>
      </w:r>
      <w:r>
        <w:rPr>
          <w:rFonts w:hint="eastAsia" w:ascii="宋体" w:hAnsi="宋体" w:cs="宋体"/>
          <w:b/>
          <w:highlight w:val="none"/>
          <w:lang w:eastAsia="zh-CN"/>
        </w:rPr>
        <w:t>；</w:t>
      </w:r>
      <w:r>
        <w:rPr>
          <w:rFonts w:hint="eastAsia" w:ascii="宋体" w:hAnsi="宋体" w:cs="宋体"/>
          <w:b/>
          <w:highlight w:val="none"/>
          <w:lang w:val="en-US" w:eastAsia="zh-CN"/>
        </w:rPr>
        <w:t>增加部分决算金额高于2万元的，结算时按实结算，决算下浮率参照南通市通州区水务工程有限公司2025-2026年度劳务作业供应商一标段下浮率进行结算</w:t>
      </w:r>
      <w:r>
        <w:rPr>
          <w:rFonts w:hint="eastAsia" w:ascii="宋体" w:hAnsi="宋体"/>
          <w:b/>
          <w:color w:val="000000"/>
          <w:highlight w:val="none"/>
          <w:u w:val="none"/>
        </w:rPr>
        <w:t>。</w:t>
      </w:r>
    </w:p>
    <w:p w14:paraId="11D77ACE">
      <w:pPr>
        <w:widowControl/>
        <w:snapToGrid w:val="0"/>
        <w:spacing w:line="400" w:lineRule="exact"/>
        <w:ind w:firstLine="422" w:firstLineChars="200"/>
        <w:jc w:val="left"/>
        <w:rPr>
          <w:rFonts w:hint="eastAsia" w:ascii="宋体" w:hAnsi="宋体"/>
          <w:b/>
          <w:color w:val="000000"/>
          <w:highlight w:val="none"/>
          <w:u w:val="single"/>
        </w:rPr>
      </w:pPr>
      <w:r>
        <w:rPr>
          <w:rFonts w:hint="eastAsia" w:ascii="宋体" w:hAnsi="宋体" w:cs="宋体"/>
          <w:b/>
          <w:highlight w:val="none"/>
          <w:lang w:eastAsia="zh-CN"/>
        </w:rPr>
        <w:t>（</w:t>
      </w:r>
      <w:r>
        <w:rPr>
          <w:rFonts w:hint="eastAsia" w:ascii="宋体" w:hAnsi="宋体" w:cs="宋体"/>
          <w:b/>
          <w:highlight w:val="none"/>
          <w:lang w:val="en-US" w:eastAsia="zh-CN"/>
        </w:rPr>
        <w:t>2</w:t>
      </w:r>
      <w:r>
        <w:rPr>
          <w:rFonts w:hint="eastAsia" w:ascii="宋体" w:hAnsi="宋体" w:cs="宋体"/>
          <w:b/>
          <w:highlight w:val="none"/>
          <w:lang w:eastAsia="zh-CN"/>
        </w:rPr>
        <w:t>）</w:t>
      </w:r>
      <w:r>
        <w:rPr>
          <w:rFonts w:hint="eastAsia" w:ascii="宋体" w:hAnsi="宋体" w:cs="宋体"/>
          <w:b/>
          <w:bCs/>
          <w:kern w:val="0"/>
          <w:highlight w:val="none"/>
          <w:lang w:val="en-US" w:eastAsia="zh-CN"/>
        </w:rPr>
        <w:t>清单内不施工的工程量在结算时按实扣除（为避免投标人存在不平衡报价，针对部分明显存在价格偏低的报价，发包人有权对该报价清单进行重新组价，其下浮率按（最高限价-中标价）÷（最高限价÷0.8）计取）</w:t>
      </w:r>
      <w:r>
        <w:rPr>
          <w:rFonts w:hint="eastAsia" w:ascii="宋体" w:hAnsi="宋体" w:cs="宋体"/>
          <w:b/>
          <w:highlight w:val="none"/>
        </w:rPr>
        <w:t>。</w:t>
      </w:r>
    </w:p>
    <w:p w14:paraId="5612B6CD">
      <w:pPr>
        <w:spacing w:line="400" w:lineRule="exact"/>
        <w:ind w:firstLine="422" w:firstLineChars="200"/>
        <w:rPr>
          <w:rFonts w:ascii="宋体" w:hAnsi="宋体"/>
          <w:b/>
          <w:bCs/>
          <w:color w:val="000000"/>
          <w:u w:val="single"/>
        </w:rPr>
      </w:pPr>
      <w:r>
        <w:rPr>
          <w:rFonts w:hint="eastAsia" w:ascii="宋体" w:hAnsi="宋体"/>
          <w:b/>
          <w:bCs/>
          <w:color w:val="000000"/>
          <w:u w:val="single"/>
        </w:rPr>
        <w:t>（</w:t>
      </w:r>
      <w:r>
        <w:rPr>
          <w:rFonts w:hint="eastAsia" w:ascii="宋体" w:hAnsi="宋体"/>
          <w:b/>
          <w:bCs/>
          <w:color w:val="000000"/>
          <w:u w:val="single"/>
          <w:lang w:val="en-US" w:eastAsia="zh-CN"/>
        </w:rPr>
        <w:t>3</w:t>
      </w:r>
      <w:r>
        <w:rPr>
          <w:rFonts w:hint="eastAsia" w:ascii="宋体" w:hAnsi="宋体"/>
          <w:b/>
          <w:bCs/>
          <w:color w:val="000000"/>
          <w:u w:val="single"/>
        </w:rPr>
        <w:t>）施工中发包人有权根据实际缩减部分工程量，承包人不得就此提出索赔。</w:t>
      </w:r>
    </w:p>
    <w:p w14:paraId="068D5A1D">
      <w:pPr>
        <w:spacing w:line="400" w:lineRule="exact"/>
        <w:ind w:firstLine="422" w:firstLineChars="200"/>
        <w:rPr>
          <w:rFonts w:ascii="宋体" w:hAnsi="宋体"/>
          <w:b/>
          <w:bCs/>
          <w:color w:val="000000"/>
        </w:rPr>
      </w:pPr>
      <w:r>
        <w:rPr>
          <w:rFonts w:ascii="宋体" w:hAnsi="宋体"/>
          <w:b/>
          <w:bCs/>
          <w:color w:val="000000"/>
        </w:rPr>
        <w:t>24</w:t>
      </w:r>
      <w:r>
        <w:rPr>
          <w:rFonts w:hint="eastAsia" w:ascii="宋体" w:hAnsi="宋体"/>
          <w:b/>
          <w:bCs/>
          <w:color w:val="000000"/>
        </w:rPr>
        <w:t>.工程预付款</w:t>
      </w:r>
    </w:p>
    <w:p w14:paraId="2BA68786">
      <w:pPr>
        <w:spacing w:line="400" w:lineRule="exact"/>
        <w:ind w:firstLine="420" w:firstLineChars="200"/>
        <w:rPr>
          <w:rFonts w:ascii="宋体" w:hAnsi="宋体"/>
          <w:color w:val="000000"/>
          <w:u w:val="single"/>
        </w:rPr>
      </w:pPr>
      <w:r>
        <w:rPr>
          <w:rFonts w:hint="eastAsia" w:ascii="宋体" w:hAnsi="宋体"/>
          <w:color w:val="000000"/>
        </w:rPr>
        <w:t>发包人向承包人预付工程款的时间和金额或占合同价款总额的比例：</w:t>
      </w:r>
      <w:r>
        <w:rPr>
          <w:rFonts w:hint="eastAsia" w:ascii="宋体" w:hAnsi="宋体"/>
          <w:color w:val="000000"/>
          <w:u w:val="single"/>
        </w:rPr>
        <w:t xml:space="preserve">0%    </w:t>
      </w:r>
    </w:p>
    <w:p w14:paraId="72623EF8">
      <w:pPr>
        <w:spacing w:line="400" w:lineRule="exact"/>
        <w:ind w:firstLine="420" w:firstLineChars="200"/>
        <w:rPr>
          <w:rFonts w:ascii="宋体" w:hAnsi="宋体"/>
          <w:color w:val="000000"/>
          <w:u w:val="single"/>
        </w:rPr>
      </w:pPr>
      <w:r>
        <w:rPr>
          <w:rFonts w:hint="eastAsia" w:ascii="宋体" w:hAnsi="宋体"/>
          <w:color w:val="000000"/>
        </w:rPr>
        <w:t>扣回工程款的时间、比例：</w:t>
      </w:r>
      <w:r>
        <w:rPr>
          <w:rFonts w:hint="eastAsia" w:ascii="宋体" w:hAnsi="宋体"/>
          <w:bCs/>
          <w:color w:val="000000"/>
          <w:u w:val="single"/>
        </w:rPr>
        <w:t xml:space="preserve"> 不扣回</w:t>
      </w:r>
    </w:p>
    <w:p w14:paraId="718DAB13">
      <w:pPr>
        <w:spacing w:line="400" w:lineRule="exact"/>
        <w:ind w:firstLine="422" w:firstLineChars="200"/>
        <w:rPr>
          <w:rFonts w:ascii="宋体" w:hAnsi="宋体"/>
          <w:b/>
          <w:color w:val="000000"/>
        </w:rPr>
      </w:pPr>
      <w:r>
        <w:rPr>
          <w:rFonts w:hint="eastAsia" w:ascii="宋体" w:hAnsi="宋体"/>
          <w:b/>
          <w:color w:val="000000"/>
        </w:rPr>
        <w:t>25、工程量确认</w:t>
      </w:r>
    </w:p>
    <w:p w14:paraId="17BBE91D">
      <w:pPr>
        <w:spacing w:line="400" w:lineRule="exact"/>
        <w:ind w:firstLine="625" w:firstLineChars="298"/>
        <w:jc w:val="left"/>
        <w:rPr>
          <w:rFonts w:ascii="宋体" w:hAnsi="宋体"/>
          <w:b/>
          <w:color w:val="000000"/>
          <w:u w:val="single"/>
        </w:rPr>
      </w:pPr>
      <w:r>
        <w:rPr>
          <w:rFonts w:ascii="宋体" w:hAnsi="宋体"/>
          <w:color w:val="000000"/>
        </w:rPr>
        <w:t>25.1</w:t>
      </w:r>
      <w:r>
        <w:rPr>
          <w:rFonts w:hint="eastAsia" w:ascii="宋体" w:hAnsi="宋体"/>
          <w:color w:val="000000"/>
        </w:rPr>
        <w:t>承包人向工程师提交已完工程量报告的时间：</w:t>
      </w:r>
      <w:r>
        <w:rPr>
          <w:rFonts w:hint="eastAsia" w:ascii="宋体" w:hAnsi="宋体"/>
          <w:b/>
          <w:color w:val="000000"/>
          <w:u w:val="single"/>
        </w:rPr>
        <w:t>工程竣工验收后提交工程报告，验收不合格的分部分项工程不予计量，不得支付工程款 。</w:t>
      </w:r>
    </w:p>
    <w:p w14:paraId="078EC6A0">
      <w:pPr>
        <w:spacing w:line="400" w:lineRule="exact"/>
        <w:ind w:firstLine="628" w:firstLineChars="298"/>
        <w:jc w:val="left"/>
        <w:rPr>
          <w:rFonts w:ascii="宋体" w:hAnsi="宋体"/>
          <w:b/>
          <w:color w:val="000000"/>
          <w:highlight w:val="none"/>
          <w:u w:val="single"/>
        </w:rPr>
      </w:pPr>
      <w:r>
        <w:rPr>
          <w:rFonts w:hint="eastAsia" w:ascii="宋体" w:hAnsi="宋体"/>
          <w:b/>
          <w:color w:val="000000"/>
          <w:u w:val="single"/>
        </w:rPr>
        <w:t>2</w:t>
      </w:r>
      <w:r>
        <w:rPr>
          <w:rFonts w:hint="eastAsia" w:ascii="宋体" w:hAnsi="宋体"/>
          <w:b/>
          <w:color w:val="000000"/>
          <w:highlight w:val="none"/>
          <w:u w:val="single"/>
        </w:rPr>
        <w:t>6、工程款</w:t>
      </w:r>
      <w:r>
        <w:rPr>
          <w:rFonts w:ascii="宋体" w:hAnsi="宋体"/>
          <w:b/>
          <w:color w:val="000000"/>
          <w:highlight w:val="none"/>
          <w:u w:val="single"/>
        </w:rPr>
        <w:t>(</w:t>
      </w:r>
      <w:r>
        <w:rPr>
          <w:rFonts w:hint="eastAsia" w:ascii="宋体" w:hAnsi="宋体"/>
          <w:b/>
          <w:color w:val="000000"/>
          <w:highlight w:val="none"/>
          <w:u w:val="single"/>
        </w:rPr>
        <w:t>进度款</w:t>
      </w:r>
      <w:r>
        <w:rPr>
          <w:rFonts w:ascii="宋体" w:hAnsi="宋体"/>
          <w:b/>
          <w:color w:val="000000"/>
          <w:highlight w:val="none"/>
          <w:u w:val="single"/>
        </w:rPr>
        <w:t>)</w:t>
      </w:r>
      <w:r>
        <w:rPr>
          <w:rFonts w:hint="eastAsia" w:ascii="宋体" w:hAnsi="宋体"/>
          <w:b/>
          <w:color w:val="000000"/>
          <w:highlight w:val="none"/>
          <w:u w:val="single"/>
        </w:rPr>
        <w:t>支付</w:t>
      </w:r>
    </w:p>
    <w:p w14:paraId="7A7B1C3A">
      <w:pPr>
        <w:spacing w:line="400" w:lineRule="exact"/>
        <w:ind w:firstLine="628" w:firstLineChars="298"/>
        <w:jc w:val="left"/>
        <w:rPr>
          <w:rFonts w:ascii="宋体" w:hAnsi="宋体"/>
          <w:b/>
          <w:color w:val="000000"/>
          <w:highlight w:val="none"/>
          <w:u w:val="single"/>
        </w:rPr>
      </w:pPr>
      <w:r>
        <w:rPr>
          <w:rFonts w:hint="eastAsia" w:ascii="宋体" w:hAnsi="宋体"/>
          <w:b/>
          <w:color w:val="000000"/>
          <w:highlight w:val="none"/>
          <w:u w:val="single"/>
        </w:rPr>
        <w:t>双方约定的工程款</w:t>
      </w:r>
      <w:r>
        <w:rPr>
          <w:rFonts w:ascii="宋体" w:hAnsi="宋体"/>
          <w:b/>
          <w:color w:val="000000"/>
          <w:highlight w:val="none"/>
          <w:u w:val="single"/>
        </w:rPr>
        <w:t>(</w:t>
      </w:r>
      <w:r>
        <w:rPr>
          <w:rFonts w:hint="eastAsia" w:ascii="宋体" w:hAnsi="宋体"/>
          <w:b/>
          <w:color w:val="000000"/>
          <w:highlight w:val="none"/>
          <w:u w:val="single"/>
        </w:rPr>
        <w:t>进度款</w:t>
      </w:r>
      <w:r>
        <w:rPr>
          <w:rFonts w:ascii="宋体" w:hAnsi="宋体"/>
          <w:b/>
          <w:color w:val="000000"/>
          <w:highlight w:val="none"/>
          <w:u w:val="single"/>
        </w:rPr>
        <w:t>)</w:t>
      </w:r>
      <w:r>
        <w:rPr>
          <w:rFonts w:hint="eastAsia" w:ascii="宋体" w:hAnsi="宋体"/>
          <w:b/>
          <w:color w:val="000000"/>
          <w:highlight w:val="none"/>
          <w:u w:val="single"/>
        </w:rPr>
        <w:t>支付的方式和时间：</w:t>
      </w:r>
    </w:p>
    <w:p w14:paraId="6BD528C5">
      <w:pPr>
        <w:spacing w:line="400" w:lineRule="exact"/>
        <w:ind w:left="241" w:firstLine="422" w:firstLineChars="200"/>
        <w:rPr>
          <w:rFonts w:ascii="宋体" w:hAnsi="宋体"/>
          <w:bCs/>
          <w:highlight w:val="none"/>
        </w:rPr>
      </w:pPr>
      <w:r>
        <w:rPr>
          <w:rFonts w:hint="eastAsia" w:ascii="宋体" w:hAnsi="宋体"/>
          <w:b/>
          <w:bCs/>
          <w:highlight w:val="none"/>
          <w:u w:val="single"/>
        </w:rPr>
        <w:t>（1）工程试压验收合格后一个月内支付合同价款的50%；</w:t>
      </w:r>
    </w:p>
    <w:p w14:paraId="00D4A1F4">
      <w:pPr>
        <w:spacing w:line="400" w:lineRule="exact"/>
        <w:ind w:left="241" w:firstLine="422" w:firstLineChars="200"/>
        <w:rPr>
          <w:rFonts w:ascii="宋体" w:hAnsi="宋体"/>
          <w:b/>
          <w:highlight w:val="none"/>
          <w:u w:val="single"/>
        </w:rPr>
      </w:pPr>
      <w:r>
        <w:rPr>
          <w:rFonts w:hint="eastAsia" w:ascii="宋体" w:hAnsi="宋体"/>
          <w:b/>
          <w:bCs/>
          <w:highlight w:val="none"/>
          <w:u w:val="single"/>
        </w:rPr>
        <w:t>（2）工程竣工验收合格且审计结束后一个月内付至审计价款的97%（不计息）</w:t>
      </w:r>
      <w:r>
        <w:rPr>
          <w:rFonts w:hint="eastAsia" w:ascii="宋体" w:hAnsi="宋体"/>
          <w:b/>
          <w:bCs/>
          <w:highlight w:val="none"/>
          <w:u w:val="single"/>
          <w:lang w:eastAsia="zh-CN"/>
        </w:rPr>
        <w:t>，</w:t>
      </w:r>
      <w:r>
        <w:rPr>
          <w:rFonts w:hint="eastAsia" w:ascii="宋体" w:hAnsi="宋体"/>
          <w:b/>
          <w:bCs/>
          <w:highlight w:val="none"/>
          <w:u w:val="single"/>
          <w:lang w:val="en-US" w:eastAsia="zh-CN"/>
        </w:rPr>
        <w:t>同时须提供加盖公章的第三方监测费用付款发票复印件</w:t>
      </w:r>
      <w:r>
        <w:rPr>
          <w:rFonts w:hint="eastAsia" w:ascii="宋体" w:hAnsi="宋体"/>
          <w:b/>
          <w:highlight w:val="none"/>
          <w:u w:val="single"/>
        </w:rPr>
        <w:t>；</w:t>
      </w:r>
    </w:p>
    <w:p w14:paraId="35FF6DEC">
      <w:pPr>
        <w:spacing w:line="400" w:lineRule="exact"/>
        <w:ind w:firstLine="632" w:firstLineChars="300"/>
        <w:rPr>
          <w:rFonts w:ascii="宋体" w:hAnsi="宋体"/>
          <w:b/>
          <w:highlight w:val="none"/>
          <w:u w:val="single"/>
        </w:rPr>
      </w:pPr>
      <w:r>
        <w:rPr>
          <w:rFonts w:hint="eastAsia" w:ascii="宋体" w:hAnsi="宋体"/>
          <w:b/>
          <w:bCs/>
          <w:highlight w:val="none"/>
          <w:u w:val="single"/>
        </w:rPr>
        <w:t>（3）工程竣工验收合格满二年后付清余款（不计息）</w:t>
      </w:r>
      <w:r>
        <w:rPr>
          <w:rFonts w:hint="eastAsia" w:ascii="宋体" w:hAnsi="宋体"/>
          <w:b/>
          <w:highlight w:val="none"/>
          <w:u w:val="single"/>
        </w:rPr>
        <w:t>。</w:t>
      </w:r>
    </w:p>
    <w:p w14:paraId="5A7D1D0A">
      <w:pPr>
        <w:spacing w:line="400" w:lineRule="exact"/>
        <w:ind w:left="241" w:firstLine="422" w:firstLineChars="200"/>
        <w:rPr>
          <w:rFonts w:ascii="宋体" w:hAnsi="宋体"/>
          <w:b/>
          <w:bCs/>
          <w:color w:val="000000"/>
          <w:u w:val="single"/>
        </w:rPr>
      </w:pPr>
      <w:r>
        <w:rPr>
          <w:rFonts w:hint="eastAsia" w:ascii="宋体" w:hAnsi="宋体"/>
          <w:b/>
          <w:bCs/>
          <w:color w:val="000000"/>
          <w:u w:val="single"/>
        </w:rPr>
        <w:t>（4）每次支付前，承包人每次领取合同价款时应当开具南通市通州区税务管理部门的正式税票，否则发包人有权拒付。</w:t>
      </w:r>
    </w:p>
    <w:p w14:paraId="22BB78C7">
      <w:pPr>
        <w:spacing w:line="400" w:lineRule="exact"/>
        <w:ind w:left="241" w:firstLine="420" w:firstLineChars="200"/>
        <w:rPr>
          <w:rFonts w:ascii="宋体" w:hAnsi="宋体"/>
          <w:bCs/>
          <w:color w:val="000000"/>
        </w:rPr>
      </w:pPr>
      <w:r>
        <w:rPr>
          <w:rFonts w:hint="eastAsia" w:ascii="宋体" w:hAnsi="宋体"/>
          <w:bCs/>
          <w:color w:val="000000"/>
        </w:rPr>
        <w:t>工程款汇入承包人账户应专款专用，一旦发现占用工程款，导致材料、设备、人工费支付不到位造成停工，发包人即停止付款，由此发生的损失费用由承包人承担。</w:t>
      </w:r>
    </w:p>
    <w:p w14:paraId="2A785B3A">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七、材料设备供应</w:t>
      </w:r>
    </w:p>
    <w:p w14:paraId="7817D1BD">
      <w:pPr>
        <w:spacing w:line="400" w:lineRule="exact"/>
        <w:ind w:firstLine="422" w:firstLineChars="200"/>
        <w:rPr>
          <w:rFonts w:ascii="宋体" w:hAnsi="宋体"/>
          <w:b/>
          <w:color w:val="000000"/>
          <w:u w:val="single"/>
        </w:rPr>
      </w:pPr>
      <w:r>
        <w:rPr>
          <w:rFonts w:hint="eastAsia" w:ascii="宋体" w:hAnsi="宋体"/>
          <w:b/>
          <w:color w:val="000000"/>
        </w:rPr>
        <w:t>27、发包人供应材料设备：</w:t>
      </w:r>
    </w:p>
    <w:p w14:paraId="4E701304">
      <w:pPr>
        <w:spacing w:line="400" w:lineRule="exact"/>
        <w:ind w:firstLine="420" w:firstLineChars="200"/>
        <w:rPr>
          <w:rFonts w:ascii="宋体" w:hAnsi="宋体"/>
          <w:color w:val="000000"/>
        </w:rPr>
      </w:pPr>
      <w:r>
        <w:rPr>
          <w:rFonts w:ascii="宋体" w:hAnsi="宋体"/>
          <w:color w:val="000000"/>
        </w:rPr>
        <w:t>28</w:t>
      </w:r>
      <w:r>
        <w:rPr>
          <w:rFonts w:hint="eastAsia" w:ascii="宋体" w:hAnsi="宋体"/>
          <w:color w:val="000000"/>
        </w:rPr>
        <w:t>、承包人采购材料设备</w:t>
      </w:r>
    </w:p>
    <w:p w14:paraId="6081B911">
      <w:pPr>
        <w:spacing w:line="400" w:lineRule="exact"/>
        <w:ind w:firstLine="420" w:firstLineChars="200"/>
        <w:jc w:val="left"/>
        <w:rPr>
          <w:rFonts w:ascii="宋体" w:hAnsi="宋体"/>
          <w:color w:val="000000"/>
        </w:rPr>
      </w:pPr>
      <w:r>
        <w:rPr>
          <w:rFonts w:hint="eastAsia" w:ascii="宋体" w:hAnsi="宋体"/>
          <w:color w:val="000000"/>
        </w:rPr>
        <w:t>28.1承包人采购材料设备的约定：</w:t>
      </w:r>
      <w:r>
        <w:rPr>
          <w:rFonts w:hint="eastAsia" w:ascii="宋体" w:hAnsi="宋体"/>
          <w:b/>
          <w:color w:val="000000"/>
          <w:u w:val="single"/>
        </w:rPr>
        <w:t>承包人采购材料、设备应在采购前向发包人和监理工程师提供样品及规格、产地、所供应材料合格证等资料。发包人保留对材料供应的支配权。双方约定由承包人采购的材料必须符合有关规范、设计图纸规定的质量要求且经发包人和监理方事先认可。在施工过程中发包人和监理方对承包人供材料进行不定期抽检，抽检检测费用由发包人承担，检测不合格产生的检测及其它费用由承包人承担。</w:t>
      </w:r>
    </w:p>
    <w:p w14:paraId="647BC528">
      <w:pPr>
        <w:spacing w:line="440" w:lineRule="exact"/>
        <w:ind w:firstLine="562" w:firstLineChars="200"/>
        <w:jc w:val="center"/>
        <w:rPr>
          <w:rFonts w:ascii="宋体" w:hAnsi="宋体"/>
          <w:b/>
          <w:bCs/>
          <w:color w:val="000000"/>
          <w:sz w:val="28"/>
          <w:szCs w:val="24"/>
        </w:rPr>
      </w:pPr>
      <w:r>
        <w:rPr>
          <w:rFonts w:hint="eastAsia" w:ascii="宋体" w:hAnsi="宋体"/>
          <w:b/>
          <w:bCs/>
          <w:color w:val="000000"/>
          <w:sz w:val="28"/>
          <w:szCs w:val="24"/>
        </w:rPr>
        <w:t>八、工程变更</w:t>
      </w:r>
    </w:p>
    <w:p w14:paraId="5ED59E1A">
      <w:pPr>
        <w:spacing w:line="400" w:lineRule="exact"/>
        <w:ind w:firstLine="420" w:firstLineChars="200"/>
        <w:rPr>
          <w:rFonts w:ascii="宋体" w:hAnsi="宋体"/>
          <w:color w:val="000000"/>
          <w:u w:val="single"/>
        </w:rPr>
      </w:pPr>
      <w:r>
        <w:rPr>
          <w:rFonts w:hint="eastAsia" w:ascii="宋体" w:hAnsi="宋体"/>
          <w:color w:val="000000"/>
        </w:rPr>
        <w:t>31.确定工程变更价款</w:t>
      </w:r>
    </w:p>
    <w:p w14:paraId="52758E38">
      <w:pPr>
        <w:spacing w:line="400" w:lineRule="exact"/>
        <w:ind w:firstLine="422" w:firstLineChars="200"/>
        <w:rPr>
          <w:rFonts w:ascii="宋体" w:hAnsi="宋体"/>
          <w:b/>
          <w:color w:val="000000"/>
        </w:rPr>
      </w:pPr>
      <w:r>
        <w:rPr>
          <w:rFonts w:hint="eastAsia" w:ascii="宋体" w:hAnsi="宋体"/>
          <w:b/>
          <w:color w:val="000000"/>
        </w:rPr>
        <w:t>承包人不得随意更改设计，因承包人自身原因导致的工程变更，承包人无权要求追加合同价款。</w:t>
      </w:r>
      <w:r>
        <w:rPr>
          <w:rFonts w:hint="eastAsia" w:ascii="宋体" w:hAnsi="宋体" w:cs="宋体"/>
          <w:b/>
          <w:highlight w:val="none"/>
        </w:rPr>
        <w:t>发生变更项目导致局部工程量增</w:t>
      </w:r>
      <w:r>
        <w:rPr>
          <w:rFonts w:hint="eastAsia" w:ascii="宋体" w:hAnsi="宋体" w:cs="宋体"/>
          <w:b/>
          <w:highlight w:val="none"/>
          <w:lang w:val="en-US" w:eastAsia="zh-CN"/>
        </w:rPr>
        <w:t>加</w:t>
      </w:r>
      <w:r>
        <w:rPr>
          <w:rFonts w:hint="eastAsia" w:ascii="宋体" w:hAnsi="宋体" w:cs="宋体"/>
          <w:b/>
          <w:highlight w:val="none"/>
        </w:rPr>
        <w:t>，由此产生的费用变化，</w:t>
      </w:r>
      <w:r>
        <w:rPr>
          <w:rFonts w:hint="eastAsia" w:ascii="宋体" w:hAnsi="宋体" w:cs="宋体"/>
          <w:b/>
          <w:highlight w:val="none"/>
          <w:lang w:val="en-US" w:eastAsia="zh-CN"/>
        </w:rPr>
        <w:t>增加部分决算金额低于2万元（含2万元）的，</w:t>
      </w:r>
      <w:r>
        <w:rPr>
          <w:rFonts w:hint="eastAsia" w:ascii="宋体" w:hAnsi="宋体" w:cs="宋体"/>
          <w:b/>
          <w:highlight w:val="none"/>
        </w:rPr>
        <w:t>结算时不作调整</w:t>
      </w:r>
      <w:r>
        <w:rPr>
          <w:rFonts w:hint="eastAsia" w:ascii="宋体" w:hAnsi="宋体" w:cs="宋体"/>
          <w:b/>
          <w:highlight w:val="none"/>
          <w:lang w:eastAsia="zh-CN"/>
        </w:rPr>
        <w:t>；</w:t>
      </w:r>
      <w:r>
        <w:rPr>
          <w:rFonts w:hint="eastAsia" w:ascii="宋体" w:hAnsi="宋体" w:cs="宋体"/>
          <w:b/>
          <w:highlight w:val="none"/>
          <w:lang w:val="en-US" w:eastAsia="zh-CN"/>
        </w:rPr>
        <w:t>增加部分决算金额高于2万元的，结算时按实结算，决算下浮率参照南通市通州区水务工程有限公司2025-2026年度劳务作业供应商一标段下浮率进行结算</w:t>
      </w:r>
      <w:r>
        <w:rPr>
          <w:rFonts w:hint="eastAsia" w:ascii="宋体" w:hAnsi="宋体"/>
          <w:b/>
          <w:color w:val="000000"/>
        </w:rPr>
        <w:t>。施工中发包人有权根据实际情况缩减部分工程量，承包人不得就此提出索赔。</w:t>
      </w:r>
    </w:p>
    <w:p w14:paraId="2F2AD5AF">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九、竣工验收与结算</w:t>
      </w:r>
    </w:p>
    <w:p w14:paraId="38BBCD3D">
      <w:pPr>
        <w:spacing w:line="400" w:lineRule="exact"/>
        <w:ind w:firstLine="422" w:firstLineChars="200"/>
        <w:rPr>
          <w:rFonts w:ascii="宋体" w:hAnsi="宋体"/>
          <w:b/>
          <w:color w:val="000000"/>
        </w:rPr>
      </w:pPr>
      <w:r>
        <w:rPr>
          <w:rFonts w:hint="eastAsia" w:ascii="宋体" w:hAnsi="宋体"/>
          <w:b/>
          <w:color w:val="000000"/>
        </w:rPr>
        <w:t>32、竣工验收</w:t>
      </w:r>
    </w:p>
    <w:p w14:paraId="06161099">
      <w:pPr>
        <w:spacing w:line="400" w:lineRule="exact"/>
        <w:ind w:firstLine="420" w:firstLineChars="200"/>
        <w:rPr>
          <w:rFonts w:ascii="宋体" w:hAnsi="宋体"/>
          <w:color w:val="000000"/>
          <w:u w:val="single"/>
        </w:rPr>
      </w:pPr>
      <w:r>
        <w:rPr>
          <w:rFonts w:ascii="宋体" w:hAnsi="宋体"/>
          <w:color w:val="000000"/>
        </w:rPr>
        <w:t>32.1</w:t>
      </w:r>
      <w:r>
        <w:rPr>
          <w:rFonts w:hint="eastAsia" w:ascii="宋体" w:hAnsi="宋体"/>
          <w:color w:val="000000"/>
        </w:rPr>
        <w:t>承包人提供竣工图的约定：</w:t>
      </w:r>
      <w:r>
        <w:rPr>
          <w:rFonts w:hint="eastAsia" w:ascii="宋体" w:hAnsi="宋体"/>
          <w:color w:val="000000"/>
          <w:u w:val="single"/>
        </w:rPr>
        <w:t xml:space="preserve"> 1. 承包人在工程竣工后一月内提供经监理工程师审查通过的叁套完整的竣工图和竣工结算及其他资料；2. 工程具备竣工验收条件后，承包人应按《建设工程文件归档整理规范》（GB/T50328-2001）及建设部建城[2002]221号文关于《市政基础设施工程施工技术文件管理规定》的要求，向发包人提供3套</w:t>
      </w:r>
      <w:r>
        <w:rPr>
          <w:rFonts w:hint="eastAsia" w:ascii="宋体" w:hAnsi="宋体"/>
          <w:color w:val="000000"/>
        </w:rPr>
        <w:t>（其中图纸伍份、竣工图必须为CAD绘图，并且提供光盘一套。）</w:t>
      </w:r>
      <w:r>
        <w:rPr>
          <w:rFonts w:hint="eastAsia" w:ascii="宋体" w:hAnsi="宋体"/>
          <w:color w:val="000000"/>
          <w:u w:val="single"/>
        </w:rPr>
        <w:t>完整并符合要求的竣工资料和工程竣工报告，工程竣工报告应经过总监理工程师审核认可。</w:t>
      </w:r>
    </w:p>
    <w:p w14:paraId="1FA8EC81">
      <w:pPr>
        <w:spacing w:line="400" w:lineRule="exact"/>
        <w:ind w:firstLine="420" w:firstLineChars="200"/>
        <w:rPr>
          <w:rFonts w:ascii="宋体" w:hAnsi="宋体"/>
          <w:b/>
          <w:color w:val="000000"/>
        </w:rPr>
      </w:pPr>
      <w:r>
        <w:rPr>
          <w:rFonts w:ascii="宋体" w:hAnsi="宋体"/>
          <w:color w:val="000000"/>
        </w:rPr>
        <w:t>32.6</w:t>
      </w:r>
      <w:r>
        <w:rPr>
          <w:rFonts w:hint="eastAsia" w:ascii="宋体" w:hAnsi="宋体"/>
          <w:color w:val="000000"/>
        </w:rPr>
        <w:t>中间交工工程的范围和竣工时间：</w:t>
      </w:r>
      <w:r>
        <w:rPr>
          <w:rFonts w:hint="eastAsia" w:ascii="宋体" w:hAnsi="宋体"/>
          <w:b/>
          <w:color w:val="000000"/>
          <w:u w:val="single"/>
        </w:rPr>
        <w:t xml:space="preserve">承包人保质保量如期竣工，中间交工工程的范围和竣工时间，双方另行协商  </w:t>
      </w:r>
      <w:r>
        <w:rPr>
          <w:rFonts w:hint="eastAsia" w:ascii="宋体" w:hAnsi="宋体"/>
          <w:b/>
          <w:color w:val="000000"/>
        </w:rPr>
        <w:t>。</w:t>
      </w:r>
    </w:p>
    <w:p w14:paraId="06AABD04">
      <w:pPr>
        <w:spacing w:line="400" w:lineRule="exact"/>
        <w:ind w:firstLine="422" w:firstLineChars="200"/>
        <w:rPr>
          <w:rFonts w:ascii="宋体" w:hAnsi="宋体"/>
          <w:b/>
          <w:color w:val="000000"/>
        </w:rPr>
      </w:pPr>
      <w:r>
        <w:rPr>
          <w:rFonts w:hint="eastAsia" w:ascii="宋体" w:hAnsi="宋体"/>
          <w:b/>
          <w:color w:val="000000"/>
        </w:rPr>
        <w:t>如承包人不按约定送交</w:t>
      </w:r>
      <w:r>
        <w:rPr>
          <w:rFonts w:hint="eastAsia" w:ascii="宋体" w:hAnsi="宋体"/>
          <w:b/>
          <w:color w:val="000000"/>
          <w:highlight w:val="none"/>
        </w:rPr>
        <w:t>竣工资料（含竣工结算资料），发包人有权没收竣工资料保证金。本工程设竣工资料保证金为合同价的</w:t>
      </w:r>
      <w:r>
        <w:rPr>
          <w:rFonts w:hint="eastAsia" w:ascii="宋体" w:hAnsi="宋体"/>
          <w:b/>
          <w:color w:val="000000"/>
          <w:highlight w:val="none"/>
          <w:lang w:val="en-US" w:eastAsia="zh-CN"/>
        </w:rPr>
        <w:t>1</w:t>
      </w:r>
      <w:r>
        <w:rPr>
          <w:rFonts w:hint="eastAsia" w:ascii="宋体" w:hAnsi="宋体"/>
          <w:b/>
          <w:color w:val="000000"/>
          <w:highlight w:val="none"/>
        </w:rPr>
        <w:t>%。</w:t>
      </w:r>
    </w:p>
    <w:p w14:paraId="3486E9C4">
      <w:pPr>
        <w:spacing w:line="400" w:lineRule="exact"/>
        <w:ind w:firstLine="422" w:firstLineChars="200"/>
        <w:rPr>
          <w:rFonts w:ascii="宋体" w:hAnsi="宋体"/>
          <w:b/>
          <w:color w:val="000000"/>
        </w:rPr>
      </w:pPr>
      <w:r>
        <w:rPr>
          <w:rFonts w:hint="eastAsia" w:ascii="宋体" w:hAnsi="宋体"/>
          <w:b/>
          <w:color w:val="000000"/>
        </w:rPr>
        <w:t>33、竣工结算</w:t>
      </w:r>
    </w:p>
    <w:p w14:paraId="70BD34D3">
      <w:pPr>
        <w:spacing w:line="400" w:lineRule="exact"/>
        <w:ind w:firstLine="420" w:firstLineChars="200"/>
        <w:rPr>
          <w:rFonts w:ascii="宋体" w:hAnsi="宋体"/>
          <w:bCs/>
          <w:color w:val="000000"/>
        </w:rPr>
      </w:pPr>
      <w:r>
        <w:rPr>
          <w:rFonts w:hint="eastAsia" w:ascii="宋体" w:hAnsi="宋体"/>
          <w:bCs/>
          <w:color w:val="000000"/>
        </w:rPr>
        <w:t>竣工结算资料必须在竣工验收合格后一月内交付。竣工结算的审核单位由发包人指定，审核期为发包人收到完整的竣工结算资料后的六个月内。</w:t>
      </w:r>
    </w:p>
    <w:p w14:paraId="42518BBF">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十、违约、索赔和争议</w:t>
      </w:r>
    </w:p>
    <w:p w14:paraId="781DA6D9">
      <w:pPr>
        <w:spacing w:line="400" w:lineRule="exact"/>
        <w:ind w:firstLine="422" w:firstLineChars="200"/>
        <w:rPr>
          <w:rFonts w:ascii="宋体" w:hAnsi="宋体"/>
          <w:b/>
          <w:color w:val="000000"/>
        </w:rPr>
      </w:pPr>
      <w:r>
        <w:rPr>
          <w:rFonts w:hint="eastAsia" w:ascii="宋体" w:hAnsi="宋体"/>
          <w:b/>
          <w:color w:val="000000"/>
        </w:rPr>
        <w:t>35、违约</w:t>
      </w:r>
    </w:p>
    <w:p w14:paraId="3AB358EE">
      <w:pPr>
        <w:spacing w:line="400" w:lineRule="exact"/>
        <w:ind w:firstLine="420" w:firstLineChars="200"/>
        <w:rPr>
          <w:rFonts w:ascii="宋体" w:hAnsi="宋体"/>
          <w:color w:val="000000"/>
        </w:rPr>
      </w:pPr>
      <w:r>
        <w:rPr>
          <w:rFonts w:ascii="宋体" w:hAnsi="宋体"/>
          <w:color w:val="000000"/>
        </w:rPr>
        <w:t>35.1</w:t>
      </w:r>
      <w:r>
        <w:rPr>
          <w:rFonts w:hint="eastAsia" w:ascii="宋体" w:hAnsi="宋体"/>
          <w:color w:val="000000"/>
        </w:rPr>
        <w:t>本合同中关于发包人违约的具体责任如下：</w:t>
      </w:r>
    </w:p>
    <w:p w14:paraId="24321D08">
      <w:pPr>
        <w:spacing w:line="400" w:lineRule="exact"/>
        <w:ind w:firstLine="420" w:firstLineChars="200"/>
        <w:rPr>
          <w:rFonts w:ascii="宋体" w:hAnsi="宋体"/>
          <w:color w:val="000000"/>
          <w:u w:val="single"/>
        </w:rPr>
      </w:pPr>
      <w:r>
        <w:rPr>
          <w:rFonts w:hint="eastAsia" w:ascii="宋体" w:hAnsi="宋体"/>
          <w:color w:val="000000"/>
        </w:rPr>
        <w:t>本合同通用条款第</w:t>
      </w:r>
      <w:r>
        <w:rPr>
          <w:rFonts w:ascii="宋体" w:hAnsi="宋体"/>
          <w:color w:val="000000"/>
        </w:rPr>
        <w:t>24</w:t>
      </w:r>
      <w:r>
        <w:rPr>
          <w:rFonts w:hint="eastAsia" w:ascii="宋体" w:hAnsi="宋体"/>
          <w:color w:val="000000"/>
        </w:rPr>
        <w:t>条约定发包人违约应承担的违约责任：</w:t>
      </w:r>
      <w:r>
        <w:rPr>
          <w:rFonts w:hint="eastAsia" w:ascii="宋体" w:hAnsi="宋体"/>
          <w:b/>
          <w:color w:val="000000"/>
          <w:u w:val="single"/>
        </w:rPr>
        <w:t>/　</w:t>
      </w:r>
      <w:r>
        <w:rPr>
          <w:rFonts w:hint="eastAsia" w:ascii="宋体" w:hAnsi="宋体"/>
          <w:color w:val="000000"/>
          <w:u w:val="single"/>
        </w:rPr>
        <w:t xml:space="preserve"> 　</w:t>
      </w:r>
    </w:p>
    <w:p w14:paraId="0ED2AFF4">
      <w:pPr>
        <w:spacing w:line="400" w:lineRule="exact"/>
        <w:ind w:firstLine="420" w:firstLineChars="200"/>
        <w:rPr>
          <w:rFonts w:ascii="宋体" w:hAnsi="宋体"/>
          <w:color w:val="000000"/>
        </w:rPr>
      </w:pPr>
      <w:r>
        <w:rPr>
          <w:rFonts w:hint="eastAsia" w:ascii="宋体" w:hAnsi="宋体"/>
          <w:color w:val="000000"/>
        </w:rPr>
        <w:t>本合同通用条款第</w:t>
      </w:r>
      <w:r>
        <w:rPr>
          <w:rFonts w:ascii="宋体" w:hAnsi="宋体"/>
          <w:color w:val="000000"/>
        </w:rPr>
        <w:t>26.4</w:t>
      </w:r>
      <w:r>
        <w:rPr>
          <w:rFonts w:hint="eastAsia" w:ascii="宋体" w:hAnsi="宋体"/>
          <w:color w:val="000000"/>
        </w:rPr>
        <w:t>款约定发包人违约应承担的违约责任：</w:t>
      </w:r>
      <w:r>
        <w:rPr>
          <w:rFonts w:hint="eastAsia" w:ascii="宋体" w:hAnsi="宋体"/>
          <w:b/>
          <w:color w:val="000000"/>
          <w:u w:val="single"/>
        </w:rPr>
        <w:t xml:space="preserve">同通用条款 </w:t>
      </w:r>
    </w:p>
    <w:p w14:paraId="2867E3A7">
      <w:pPr>
        <w:spacing w:line="400" w:lineRule="exact"/>
        <w:ind w:firstLine="420" w:firstLineChars="200"/>
        <w:rPr>
          <w:rFonts w:ascii="宋体" w:hAnsi="宋体"/>
          <w:color w:val="000000"/>
        </w:rPr>
      </w:pPr>
      <w:r>
        <w:rPr>
          <w:rFonts w:hint="eastAsia" w:ascii="宋体" w:hAnsi="宋体"/>
          <w:color w:val="000000"/>
        </w:rPr>
        <w:t>本合同通用条款第</w:t>
      </w:r>
      <w:r>
        <w:rPr>
          <w:rFonts w:ascii="宋体" w:hAnsi="宋体"/>
          <w:color w:val="000000"/>
        </w:rPr>
        <w:t>33.3</w:t>
      </w:r>
      <w:r>
        <w:rPr>
          <w:rFonts w:hint="eastAsia" w:ascii="宋体" w:hAnsi="宋体"/>
          <w:color w:val="000000"/>
        </w:rPr>
        <w:t>款约定发包人违约应承担的违约责任：</w:t>
      </w:r>
      <w:r>
        <w:rPr>
          <w:rFonts w:hint="eastAsia" w:ascii="宋体" w:hAnsi="宋体"/>
          <w:b/>
          <w:color w:val="000000"/>
          <w:u w:val="single"/>
        </w:rPr>
        <w:t>无</w:t>
      </w:r>
      <w:r>
        <w:rPr>
          <w:rFonts w:hint="eastAsia" w:ascii="宋体" w:hAnsi="宋体"/>
          <w:color w:val="000000"/>
          <w:u w:val="single"/>
        </w:rPr>
        <w:t>　 　</w:t>
      </w:r>
    </w:p>
    <w:p w14:paraId="14D07DDD">
      <w:pPr>
        <w:spacing w:line="400" w:lineRule="exact"/>
        <w:ind w:firstLine="420" w:firstLineChars="200"/>
        <w:rPr>
          <w:rFonts w:ascii="宋体" w:hAnsi="宋体"/>
          <w:color w:val="000000"/>
        </w:rPr>
      </w:pPr>
      <w:r>
        <w:rPr>
          <w:rFonts w:hint="eastAsia" w:ascii="宋体" w:hAnsi="宋体"/>
          <w:color w:val="000000"/>
        </w:rPr>
        <w:t>双方约定的发包人其他违约责任：</w:t>
      </w:r>
      <w:r>
        <w:rPr>
          <w:rFonts w:hint="eastAsia" w:ascii="宋体" w:hAnsi="宋体"/>
          <w:b/>
          <w:color w:val="000000"/>
          <w:u w:val="single"/>
        </w:rPr>
        <w:t xml:space="preserve"> 无</w:t>
      </w:r>
      <w:r>
        <w:rPr>
          <w:rFonts w:hint="eastAsia" w:ascii="宋体" w:hAnsi="宋体"/>
          <w:color w:val="000000"/>
        </w:rPr>
        <w:t>。</w:t>
      </w:r>
    </w:p>
    <w:p w14:paraId="5317D5C7">
      <w:pPr>
        <w:spacing w:line="400" w:lineRule="exact"/>
        <w:ind w:firstLine="420" w:firstLineChars="200"/>
        <w:rPr>
          <w:rFonts w:ascii="宋体" w:hAnsi="宋体"/>
          <w:color w:val="000000"/>
        </w:rPr>
      </w:pPr>
      <w:r>
        <w:rPr>
          <w:rFonts w:ascii="宋体" w:hAnsi="宋体"/>
          <w:color w:val="000000"/>
        </w:rPr>
        <w:t>35.2</w:t>
      </w:r>
      <w:r>
        <w:rPr>
          <w:rFonts w:hint="eastAsia" w:ascii="宋体" w:hAnsi="宋体"/>
          <w:color w:val="000000"/>
        </w:rPr>
        <w:t>本合同中关于承包人违约的具体责任如下：</w:t>
      </w:r>
    </w:p>
    <w:p w14:paraId="61A4486B">
      <w:pPr>
        <w:spacing w:line="400" w:lineRule="exact"/>
        <w:ind w:firstLine="420" w:firstLineChars="200"/>
        <w:rPr>
          <w:rFonts w:ascii="宋体" w:hAnsi="宋体"/>
          <w:b/>
          <w:color w:val="000000"/>
          <w:highlight w:val="none"/>
          <w:u w:val="single"/>
        </w:rPr>
      </w:pPr>
      <w:r>
        <w:rPr>
          <w:rFonts w:hint="eastAsia" w:ascii="宋体" w:hAnsi="宋体"/>
          <w:color w:val="000000"/>
        </w:rPr>
        <w:t>本合同通用条款第</w:t>
      </w:r>
      <w:r>
        <w:rPr>
          <w:rFonts w:ascii="宋体" w:hAnsi="宋体"/>
          <w:color w:val="000000"/>
        </w:rPr>
        <w:t>14.2</w:t>
      </w:r>
      <w:r>
        <w:rPr>
          <w:rFonts w:hint="eastAsia" w:ascii="宋体" w:hAnsi="宋体"/>
          <w:color w:val="000000"/>
        </w:rPr>
        <w:t>款约定承包人违约承担的违约责任：</w:t>
      </w:r>
      <w:r>
        <w:rPr>
          <w:rFonts w:hint="eastAsia" w:ascii="宋体" w:hAnsi="宋体"/>
          <w:b/>
          <w:color w:val="000000"/>
          <w:u w:val="single"/>
        </w:rPr>
        <w:t>因发包人原因或发生其他不可抗力因素影响工期，造成工期延长的，承包人需办理延期手续，批准后方可顺延工期；因施工单位原因延误总工期每延迟一天罚款1000元，超过10天工期保证金不退还，并处以工程结算价为基</w:t>
      </w:r>
      <w:r>
        <w:rPr>
          <w:rFonts w:hint="eastAsia" w:ascii="宋体" w:hAnsi="宋体"/>
          <w:b/>
          <w:color w:val="000000"/>
          <w:highlight w:val="none"/>
          <w:u w:val="single"/>
        </w:rPr>
        <w:t xml:space="preserve">数每天千分之五罚款，其他按通用条款中约定的内容执行。 </w:t>
      </w:r>
    </w:p>
    <w:p w14:paraId="181D3B18">
      <w:pPr>
        <w:spacing w:line="400" w:lineRule="exact"/>
        <w:ind w:firstLine="420" w:firstLineChars="200"/>
        <w:rPr>
          <w:rFonts w:ascii="宋体" w:hAnsi="宋体"/>
          <w:b/>
          <w:bCs/>
          <w:color w:val="000000"/>
          <w:highlight w:val="none"/>
          <w:u w:val="single"/>
        </w:rPr>
      </w:pPr>
      <w:r>
        <w:rPr>
          <w:rFonts w:hint="eastAsia" w:ascii="宋体" w:hAnsi="宋体"/>
          <w:color w:val="000000"/>
          <w:highlight w:val="none"/>
        </w:rPr>
        <w:t>本合同通用条款第</w:t>
      </w:r>
      <w:r>
        <w:rPr>
          <w:rFonts w:ascii="宋体" w:hAnsi="宋体"/>
          <w:color w:val="000000"/>
          <w:highlight w:val="none"/>
        </w:rPr>
        <w:t>15.1</w:t>
      </w:r>
      <w:r>
        <w:rPr>
          <w:rFonts w:hint="eastAsia" w:ascii="宋体" w:hAnsi="宋体"/>
          <w:color w:val="000000"/>
          <w:highlight w:val="none"/>
        </w:rPr>
        <w:t xml:space="preserve">款约定承包人违约应承担的违约责任： </w:t>
      </w:r>
      <w:r>
        <w:rPr>
          <w:rFonts w:hint="eastAsia" w:ascii="宋体" w:hAnsi="宋体"/>
          <w:b/>
          <w:color w:val="000000"/>
          <w:highlight w:val="none"/>
          <w:u w:val="single"/>
        </w:rPr>
        <w:t>工程质量达不到招标文件规定的质量要求后，没收全部的质量保证金，施工单位须无偿返工直至达到合格。</w:t>
      </w:r>
      <w:r>
        <w:rPr>
          <w:rFonts w:hint="eastAsia" w:ascii="宋体" w:hAnsi="宋体"/>
          <w:b/>
          <w:bCs/>
          <w:color w:val="000000"/>
          <w:highlight w:val="none"/>
          <w:u w:val="single"/>
        </w:rPr>
        <w:t>本项目以工程合同价的</w:t>
      </w:r>
      <w:r>
        <w:rPr>
          <w:rFonts w:hint="eastAsia" w:ascii="宋体" w:hAnsi="宋体"/>
          <w:b/>
          <w:bCs/>
          <w:color w:val="000000"/>
          <w:highlight w:val="none"/>
          <w:u w:val="single"/>
          <w:lang w:val="en-US" w:eastAsia="zh-CN"/>
        </w:rPr>
        <w:t>8</w:t>
      </w:r>
      <w:r>
        <w:rPr>
          <w:rFonts w:hint="eastAsia" w:ascii="宋体" w:hAnsi="宋体"/>
          <w:b/>
          <w:bCs/>
          <w:color w:val="000000"/>
          <w:highlight w:val="none"/>
          <w:u w:val="single"/>
        </w:rPr>
        <w:t>%作为质量保证金。</w:t>
      </w:r>
    </w:p>
    <w:p w14:paraId="64C10ABF">
      <w:pPr>
        <w:spacing w:line="400" w:lineRule="exact"/>
        <w:ind w:firstLine="420" w:firstLineChars="200"/>
        <w:rPr>
          <w:rFonts w:ascii="宋体" w:hAnsi="宋体"/>
          <w:b/>
          <w:color w:val="000000"/>
          <w:u w:val="single"/>
        </w:rPr>
      </w:pPr>
      <w:r>
        <w:rPr>
          <w:rFonts w:hint="eastAsia" w:ascii="宋体" w:hAnsi="宋体"/>
          <w:color w:val="000000"/>
          <w:highlight w:val="none"/>
        </w:rPr>
        <w:t>双方约定的承包人其他违约责任：</w:t>
      </w:r>
      <w:r>
        <w:rPr>
          <w:rFonts w:hint="eastAsia" w:ascii="宋体" w:hAnsi="宋体"/>
          <w:b/>
          <w:color w:val="000000"/>
          <w:highlight w:val="none"/>
          <w:u w:val="single"/>
        </w:rPr>
        <w:t>承包人如出现严重安全、质量事故，或在建设单位规定的整改期限内达不到整改要求或明显无法按期完工的，发包人有权要求施工单位立即退场，已完工程不予结算，工程款归发</w:t>
      </w:r>
      <w:r>
        <w:rPr>
          <w:rFonts w:hint="eastAsia" w:ascii="宋体" w:hAnsi="宋体"/>
          <w:b/>
          <w:color w:val="000000"/>
          <w:u w:val="single"/>
        </w:rPr>
        <w:t>包方，一切责任由承包方负责。</w:t>
      </w:r>
    </w:p>
    <w:p w14:paraId="48ADBCBA">
      <w:pPr>
        <w:spacing w:line="400" w:lineRule="exact"/>
        <w:ind w:firstLine="422" w:firstLineChars="200"/>
        <w:rPr>
          <w:rFonts w:ascii="宋体" w:hAnsi="宋体"/>
          <w:b/>
          <w:color w:val="000000"/>
        </w:rPr>
      </w:pPr>
      <w:r>
        <w:rPr>
          <w:rFonts w:hint="eastAsia" w:ascii="宋体" w:hAnsi="宋体"/>
          <w:b/>
          <w:color w:val="000000"/>
        </w:rPr>
        <w:t>37、争议</w:t>
      </w:r>
    </w:p>
    <w:p w14:paraId="332B6629">
      <w:pPr>
        <w:spacing w:line="400" w:lineRule="exact"/>
        <w:ind w:firstLine="420" w:firstLineChars="200"/>
        <w:rPr>
          <w:rFonts w:ascii="宋体" w:hAnsi="宋体"/>
          <w:color w:val="000000"/>
        </w:rPr>
      </w:pPr>
      <w:r>
        <w:rPr>
          <w:rFonts w:ascii="宋体" w:hAnsi="宋体"/>
          <w:color w:val="000000"/>
        </w:rPr>
        <w:t>37.1</w:t>
      </w:r>
      <w:r>
        <w:rPr>
          <w:rFonts w:hint="eastAsia" w:ascii="宋体" w:hAnsi="宋体"/>
          <w:color w:val="000000"/>
        </w:rPr>
        <w:t>双方约定，在履行合同过程中产生争议时：</w:t>
      </w:r>
    </w:p>
    <w:p w14:paraId="45AD243C">
      <w:pPr>
        <w:spacing w:line="400" w:lineRule="exact"/>
        <w:ind w:firstLine="420" w:firstLineChars="200"/>
        <w:rPr>
          <w:rFonts w:ascii="宋体" w:hAnsi="宋体"/>
          <w:color w:val="000000"/>
        </w:rPr>
      </w:pPr>
      <w:r>
        <w:rPr>
          <w:rFonts w:ascii="宋体" w:hAnsi="宋体"/>
          <w:color w:val="000000"/>
        </w:rPr>
        <w:t>(1)</w:t>
      </w:r>
      <w:r>
        <w:rPr>
          <w:rFonts w:hint="eastAsia" w:ascii="宋体" w:hAnsi="宋体"/>
          <w:color w:val="000000"/>
        </w:rPr>
        <w:t>请</w:t>
      </w:r>
      <w:r>
        <w:rPr>
          <w:rFonts w:hint="eastAsia" w:ascii="宋体" w:hAnsi="宋体"/>
          <w:b/>
          <w:color w:val="000000"/>
          <w:u w:val="single"/>
        </w:rPr>
        <w:t>建设主管部门</w:t>
      </w:r>
      <w:r>
        <w:rPr>
          <w:rFonts w:hint="eastAsia" w:ascii="宋体" w:hAnsi="宋体"/>
          <w:color w:val="000000"/>
        </w:rPr>
        <w:t>调解；</w:t>
      </w:r>
    </w:p>
    <w:p w14:paraId="5745D338">
      <w:pPr>
        <w:spacing w:line="400" w:lineRule="exact"/>
        <w:ind w:firstLine="420" w:firstLineChars="200"/>
        <w:rPr>
          <w:rFonts w:ascii="宋体" w:hAnsi="宋体"/>
          <w:color w:val="000000"/>
        </w:rPr>
      </w:pPr>
      <w:r>
        <w:rPr>
          <w:rFonts w:ascii="宋体" w:hAnsi="宋体"/>
          <w:color w:val="000000"/>
        </w:rPr>
        <w:t>(2)</w:t>
      </w:r>
      <w:r>
        <w:rPr>
          <w:rFonts w:hint="eastAsia" w:ascii="宋体" w:hAnsi="宋体"/>
          <w:color w:val="000000"/>
        </w:rPr>
        <w:t>当采取第</w:t>
      </w:r>
      <w:r>
        <w:rPr>
          <w:rFonts w:hint="eastAsia" w:ascii="宋体" w:hAnsi="宋体"/>
          <w:color w:val="000000"/>
          <w:u w:val="single"/>
        </w:rPr>
        <w:t xml:space="preserve"> （1）  </w:t>
      </w:r>
      <w:r>
        <w:rPr>
          <w:rFonts w:hint="eastAsia" w:ascii="宋体" w:hAnsi="宋体"/>
          <w:color w:val="000000"/>
        </w:rPr>
        <w:t>种方式不能解决时，双方约定向工程所在地人民法院提请诉讼。</w:t>
      </w:r>
    </w:p>
    <w:p w14:paraId="6BCFED30">
      <w:pPr>
        <w:spacing w:line="440" w:lineRule="exact"/>
        <w:ind w:firstLine="562" w:firstLineChars="200"/>
        <w:jc w:val="center"/>
        <w:rPr>
          <w:rFonts w:ascii="宋体" w:hAnsi="宋体"/>
          <w:b/>
          <w:color w:val="000000"/>
          <w:sz w:val="28"/>
          <w:szCs w:val="24"/>
        </w:rPr>
      </w:pPr>
      <w:r>
        <w:rPr>
          <w:rFonts w:hint="eastAsia" w:ascii="宋体" w:hAnsi="宋体"/>
          <w:b/>
          <w:color w:val="000000"/>
          <w:sz w:val="28"/>
          <w:szCs w:val="24"/>
        </w:rPr>
        <w:t>十一、其他</w:t>
      </w:r>
    </w:p>
    <w:p w14:paraId="72548DBE">
      <w:pPr>
        <w:spacing w:line="400" w:lineRule="exact"/>
        <w:ind w:firstLine="422" w:firstLineChars="200"/>
        <w:rPr>
          <w:rFonts w:ascii="宋体" w:hAnsi="宋体"/>
          <w:b/>
          <w:color w:val="000000"/>
        </w:rPr>
      </w:pPr>
      <w:r>
        <w:rPr>
          <w:rFonts w:ascii="宋体" w:hAnsi="宋体"/>
          <w:b/>
          <w:color w:val="000000"/>
        </w:rPr>
        <w:t>38</w:t>
      </w:r>
      <w:r>
        <w:rPr>
          <w:rFonts w:hint="eastAsia" w:ascii="宋体" w:hAnsi="宋体"/>
          <w:b/>
          <w:color w:val="000000"/>
        </w:rPr>
        <w:t>、工程分包</w:t>
      </w:r>
    </w:p>
    <w:p w14:paraId="201B72F9">
      <w:pPr>
        <w:spacing w:line="400" w:lineRule="exact"/>
        <w:ind w:firstLine="420" w:firstLineChars="200"/>
        <w:rPr>
          <w:rFonts w:ascii="宋体" w:hAnsi="宋体"/>
          <w:color w:val="000000"/>
        </w:rPr>
      </w:pPr>
      <w:r>
        <w:rPr>
          <w:rFonts w:ascii="宋体" w:hAnsi="宋体"/>
          <w:color w:val="000000"/>
        </w:rPr>
        <w:t>38.1</w:t>
      </w:r>
      <w:r>
        <w:rPr>
          <w:rFonts w:hint="eastAsia" w:ascii="宋体" w:hAnsi="宋体"/>
          <w:color w:val="000000"/>
        </w:rPr>
        <w:t>本工程发包人同意承包人分包的工程：</w:t>
      </w:r>
      <w:r>
        <w:rPr>
          <w:rFonts w:hint="eastAsia" w:ascii="宋体" w:hAnsi="宋体"/>
          <w:b/>
          <w:color w:val="000000"/>
          <w:u w:val="single"/>
        </w:rPr>
        <w:t>本工程不允许转包和违法分包，否则一经发现，取消承包人的施工资格，已完工程量不予结算，一切责任均由承包方负责。</w:t>
      </w:r>
    </w:p>
    <w:p w14:paraId="797061C4">
      <w:pPr>
        <w:spacing w:line="400" w:lineRule="exact"/>
        <w:ind w:firstLine="525" w:firstLineChars="250"/>
        <w:rPr>
          <w:rFonts w:ascii="宋体" w:hAnsi="宋体"/>
          <w:color w:val="000000"/>
          <w:u w:val="single"/>
        </w:rPr>
      </w:pPr>
      <w:r>
        <w:rPr>
          <w:rFonts w:hint="eastAsia" w:ascii="宋体" w:hAnsi="宋体"/>
          <w:color w:val="000000"/>
        </w:rPr>
        <w:t>分包施工单位为：</w:t>
      </w:r>
      <w:r>
        <w:rPr>
          <w:rFonts w:hint="eastAsia" w:ascii="宋体" w:hAnsi="宋体"/>
          <w:b/>
          <w:color w:val="000000"/>
          <w:u w:val="single"/>
        </w:rPr>
        <w:t xml:space="preserve">无  </w:t>
      </w:r>
    </w:p>
    <w:p w14:paraId="5253BDB8">
      <w:pPr>
        <w:spacing w:line="400" w:lineRule="exact"/>
        <w:ind w:firstLine="422" w:firstLineChars="200"/>
        <w:rPr>
          <w:rFonts w:ascii="宋体" w:hAnsi="宋体"/>
          <w:b/>
          <w:color w:val="000000"/>
        </w:rPr>
      </w:pPr>
      <w:r>
        <w:rPr>
          <w:rFonts w:hint="eastAsia" w:ascii="宋体" w:hAnsi="宋体"/>
          <w:b/>
          <w:color w:val="000000"/>
        </w:rPr>
        <w:t>39、不可抗力</w:t>
      </w:r>
    </w:p>
    <w:p w14:paraId="04FCA1D5">
      <w:pPr>
        <w:spacing w:line="400" w:lineRule="exact"/>
        <w:ind w:firstLine="420" w:firstLineChars="200"/>
        <w:rPr>
          <w:rFonts w:ascii="宋体" w:hAnsi="宋体"/>
          <w:color w:val="000000"/>
          <w:u w:val="single"/>
        </w:rPr>
      </w:pPr>
      <w:r>
        <w:rPr>
          <w:rFonts w:ascii="宋体" w:hAnsi="宋体"/>
          <w:color w:val="000000"/>
        </w:rPr>
        <w:t>39.1</w:t>
      </w:r>
      <w:r>
        <w:rPr>
          <w:rFonts w:hint="eastAsia" w:ascii="宋体" w:hAnsi="宋体"/>
          <w:color w:val="000000"/>
        </w:rPr>
        <w:t>双方关于不可抗力的约定：</w:t>
      </w:r>
      <w:r>
        <w:rPr>
          <w:rFonts w:hint="eastAsia" w:ascii="宋体" w:hAnsi="宋体"/>
          <w:b/>
          <w:color w:val="000000"/>
          <w:u w:val="single"/>
        </w:rPr>
        <w:t>由市级以上有关部门正式发布和认定的自然灾害。</w:t>
      </w:r>
    </w:p>
    <w:p w14:paraId="090D0F4A">
      <w:pPr>
        <w:spacing w:line="400" w:lineRule="exact"/>
        <w:ind w:firstLine="422" w:firstLineChars="200"/>
        <w:rPr>
          <w:rFonts w:ascii="宋体" w:hAnsi="宋体"/>
          <w:b/>
          <w:color w:val="000000"/>
        </w:rPr>
      </w:pPr>
      <w:r>
        <w:rPr>
          <w:rFonts w:hint="eastAsia" w:ascii="宋体" w:hAnsi="宋体"/>
          <w:b/>
          <w:color w:val="000000"/>
        </w:rPr>
        <w:t>40、保险</w:t>
      </w:r>
    </w:p>
    <w:p w14:paraId="7F946410">
      <w:pPr>
        <w:spacing w:line="400" w:lineRule="exact"/>
        <w:ind w:firstLine="420" w:firstLineChars="200"/>
        <w:rPr>
          <w:rFonts w:ascii="宋体" w:hAnsi="宋体"/>
          <w:color w:val="000000"/>
        </w:rPr>
      </w:pPr>
      <w:r>
        <w:rPr>
          <w:rFonts w:ascii="宋体" w:hAnsi="宋体"/>
          <w:color w:val="000000"/>
        </w:rPr>
        <w:t>40.6</w:t>
      </w:r>
      <w:r>
        <w:rPr>
          <w:rFonts w:hint="eastAsia" w:ascii="宋体" w:hAnsi="宋体"/>
          <w:color w:val="000000"/>
        </w:rPr>
        <w:t>本工程双方约定投保内容如下：</w:t>
      </w:r>
    </w:p>
    <w:p w14:paraId="027757A3">
      <w:pPr>
        <w:spacing w:line="400" w:lineRule="exact"/>
        <w:ind w:firstLine="420" w:firstLineChars="200"/>
        <w:rPr>
          <w:rFonts w:ascii="宋体" w:hAnsi="宋体"/>
          <w:color w:val="000000"/>
          <w:u w:val="single"/>
        </w:rPr>
      </w:pPr>
      <w:r>
        <w:rPr>
          <w:rFonts w:hint="eastAsia" w:ascii="宋体" w:hAnsi="宋体"/>
          <w:color w:val="000000"/>
        </w:rPr>
        <w:t xml:space="preserve">发包人投保内容： </w:t>
      </w:r>
      <w:r>
        <w:rPr>
          <w:rFonts w:hint="eastAsia" w:ascii="宋体" w:hAnsi="宋体"/>
          <w:b/>
          <w:color w:val="000000"/>
          <w:u w:val="single"/>
        </w:rPr>
        <w:t>建设工程和施工场地内的自有人员生命财产险</w:t>
      </w:r>
      <w:r>
        <w:rPr>
          <w:rFonts w:hint="eastAsia" w:ascii="宋体" w:hAnsi="宋体"/>
          <w:color w:val="000000"/>
        </w:rPr>
        <w:t>。</w:t>
      </w:r>
    </w:p>
    <w:p w14:paraId="7AC78E85">
      <w:pPr>
        <w:spacing w:line="400" w:lineRule="exact"/>
        <w:ind w:firstLine="420" w:firstLineChars="200"/>
        <w:rPr>
          <w:rFonts w:ascii="宋体" w:hAnsi="宋体"/>
          <w:color w:val="000000"/>
          <w:u w:val="single"/>
        </w:rPr>
      </w:pPr>
      <w:r>
        <w:rPr>
          <w:rFonts w:hint="eastAsia" w:ascii="宋体" w:hAnsi="宋体"/>
          <w:color w:val="000000"/>
        </w:rPr>
        <w:t xml:space="preserve">发包人委托承包人办理的保险事项： </w:t>
      </w:r>
      <w:r>
        <w:rPr>
          <w:rFonts w:hint="eastAsia" w:ascii="宋体" w:hAnsi="宋体"/>
          <w:b/>
          <w:color w:val="000000"/>
          <w:u w:val="single"/>
        </w:rPr>
        <w:t xml:space="preserve"> 无</w:t>
      </w:r>
    </w:p>
    <w:p w14:paraId="7F87DAD4">
      <w:pPr>
        <w:spacing w:line="400" w:lineRule="exact"/>
        <w:ind w:firstLine="420" w:firstLineChars="200"/>
        <w:rPr>
          <w:rFonts w:ascii="宋体" w:hAnsi="宋体"/>
          <w:b/>
          <w:color w:val="000000"/>
        </w:rPr>
      </w:pPr>
      <w:r>
        <w:rPr>
          <w:rFonts w:hint="eastAsia" w:ascii="宋体" w:hAnsi="宋体"/>
          <w:color w:val="000000"/>
        </w:rPr>
        <w:t xml:space="preserve">承包人投保内容： </w:t>
      </w:r>
      <w:r>
        <w:rPr>
          <w:rFonts w:hint="eastAsia" w:ascii="宋体" w:hAnsi="宋体"/>
          <w:b/>
          <w:color w:val="000000"/>
          <w:u w:val="single"/>
        </w:rPr>
        <w:t>从事危险作业职工的意外伤害险、施工场地内自有人员的生命财产险、施工机械设备的财产险、第三人人员的生命财产险、运至施工场地内用于工程的材料和待安装设备的财产险</w:t>
      </w:r>
      <w:r>
        <w:rPr>
          <w:rFonts w:hint="eastAsia" w:ascii="宋体" w:hAnsi="宋体"/>
          <w:b/>
          <w:color w:val="000000"/>
        </w:rPr>
        <w:t xml:space="preserve">。 </w:t>
      </w:r>
    </w:p>
    <w:p w14:paraId="31BD57A1">
      <w:pPr>
        <w:spacing w:line="400" w:lineRule="exact"/>
        <w:ind w:firstLine="422" w:firstLineChars="200"/>
        <w:rPr>
          <w:rFonts w:ascii="宋体" w:hAnsi="宋体"/>
          <w:b/>
          <w:color w:val="000000"/>
        </w:rPr>
      </w:pPr>
      <w:r>
        <w:rPr>
          <w:rFonts w:ascii="宋体" w:hAnsi="宋体"/>
          <w:b/>
          <w:color w:val="000000"/>
        </w:rPr>
        <w:t>41</w:t>
      </w:r>
      <w:r>
        <w:rPr>
          <w:rFonts w:hint="eastAsia" w:ascii="宋体" w:hAnsi="宋体"/>
          <w:b/>
          <w:color w:val="000000"/>
        </w:rPr>
        <w:t>、担保</w:t>
      </w:r>
    </w:p>
    <w:p w14:paraId="1B1D543B">
      <w:pPr>
        <w:spacing w:line="400" w:lineRule="exact"/>
        <w:ind w:firstLine="420" w:firstLineChars="200"/>
        <w:rPr>
          <w:rFonts w:ascii="宋体" w:hAnsi="宋体"/>
          <w:color w:val="000000"/>
          <w:u w:val="single"/>
        </w:rPr>
      </w:pPr>
      <w:r>
        <w:rPr>
          <w:rFonts w:ascii="宋体" w:hAnsi="宋体"/>
          <w:color w:val="000000"/>
        </w:rPr>
        <w:t>41.3</w:t>
      </w:r>
      <w:r>
        <w:rPr>
          <w:rFonts w:hint="eastAsia" w:ascii="宋体" w:hAnsi="宋体"/>
          <w:color w:val="000000"/>
        </w:rPr>
        <w:t>本工程双方约定担保事项如下：</w:t>
      </w:r>
    </w:p>
    <w:p w14:paraId="7B04B20B">
      <w:pPr>
        <w:spacing w:line="400" w:lineRule="exact"/>
        <w:ind w:firstLine="420" w:firstLineChars="200"/>
        <w:rPr>
          <w:rFonts w:ascii="宋体" w:hAnsi="宋体"/>
          <w:color w:val="000000"/>
        </w:rPr>
      </w:pPr>
      <w:r>
        <w:rPr>
          <w:rFonts w:ascii="宋体" w:hAnsi="宋体"/>
          <w:color w:val="000000"/>
        </w:rPr>
        <w:t>(1)</w:t>
      </w:r>
      <w:r>
        <w:rPr>
          <w:rFonts w:hint="eastAsia" w:ascii="宋体" w:hAnsi="宋体"/>
          <w:color w:val="000000"/>
        </w:rPr>
        <w:t>发包人不向承包人提供履约担保。</w:t>
      </w:r>
    </w:p>
    <w:p w14:paraId="429BF7C8">
      <w:pPr>
        <w:spacing w:line="400" w:lineRule="exact"/>
        <w:ind w:firstLine="420" w:firstLineChars="200"/>
        <w:rPr>
          <w:rFonts w:hint="eastAsia" w:ascii="宋体" w:hAnsi="宋体"/>
          <w:b/>
          <w:color w:val="000000"/>
          <w:u w:val="single"/>
        </w:rPr>
      </w:pPr>
      <w:r>
        <w:rPr>
          <w:rFonts w:ascii="宋体" w:hAnsi="宋体"/>
          <w:color w:val="000000"/>
        </w:rPr>
        <w:t>(2)</w:t>
      </w:r>
      <w:r>
        <w:rPr>
          <w:rFonts w:hint="eastAsia" w:ascii="宋体" w:hAnsi="宋体"/>
          <w:color w:val="000000"/>
        </w:rPr>
        <w:t>承包人向发包人提供履约担保，担保方式为：</w:t>
      </w:r>
      <w:r>
        <w:rPr>
          <w:rFonts w:hint="eastAsia" w:ascii="宋体" w:hAnsi="宋体"/>
          <w:b/>
          <w:bCs w:val="0"/>
          <w:color w:val="000000"/>
          <w:u w:val="single"/>
        </w:rPr>
        <w:t xml:space="preserve"> </w:t>
      </w:r>
      <w:r>
        <w:rPr>
          <w:rFonts w:hint="eastAsia" w:ascii="宋体" w:hAnsi="宋体" w:cs="宋体"/>
          <w:b/>
          <w:bCs w:val="0"/>
          <w:u w:val="single"/>
        </w:rPr>
        <w:t>银行汇票或电汇或履约保函</w:t>
      </w:r>
    </w:p>
    <w:p w14:paraId="4F5EDA46">
      <w:pPr>
        <w:spacing w:line="400" w:lineRule="exact"/>
        <w:ind w:firstLine="420" w:firstLineChars="200"/>
        <w:rPr>
          <w:rFonts w:ascii="宋体" w:hAnsi="宋体"/>
          <w:color w:val="000000"/>
        </w:rPr>
      </w:pPr>
      <w:r>
        <w:rPr>
          <w:rFonts w:ascii="宋体" w:hAnsi="宋体"/>
          <w:color w:val="000000"/>
        </w:rPr>
        <w:t>(</w:t>
      </w:r>
      <w:r>
        <w:rPr>
          <w:rFonts w:hint="eastAsia" w:ascii="宋体" w:hAnsi="宋体"/>
          <w:color w:val="000000"/>
        </w:rPr>
        <w:t>3</w:t>
      </w:r>
      <w:r>
        <w:rPr>
          <w:rFonts w:ascii="宋体" w:hAnsi="宋体"/>
          <w:color w:val="000000"/>
        </w:rPr>
        <w:t>)</w:t>
      </w:r>
      <w:r>
        <w:rPr>
          <w:rFonts w:hint="eastAsia" w:ascii="宋体" w:hAnsi="宋体"/>
          <w:color w:val="000000"/>
        </w:rPr>
        <w:t>双方约定的其他担保事项：</w:t>
      </w:r>
      <w:r>
        <w:rPr>
          <w:rFonts w:hint="eastAsia" w:ascii="宋体" w:hAnsi="宋体"/>
          <w:b/>
          <w:color w:val="000000"/>
          <w:u w:val="single"/>
        </w:rPr>
        <w:t xml:space="preserve">无  </w:t>
      </w:r>
    </w:p>
    <w:p w14:paraId="78DB044E">
      <w:pPr>
        <w:spacing w:line="400" w:lineRule="exact"/>
        <w:ind w:firstLine="422" w:firstLineChars="200"/>
        <w:rPr>
          <w:rFonts w:ascii="宋体" w:hAnsi="宋体"/>
          <w:b/>
          <w:color w:val="000000"/>
        </w:rPr>
      </w:pPr>
      <w:r>
        <w:rPr>
          <w:rFonts w:ascii="宋体" w:hAnsi="宋体"/>
          <w:b/>
          <w:color w:val="000000"/>
        </w:rPr>
        <w:t>46</w:t>
      </w:r>
      <w:r>
        <w:rPr>
          <w:rFonts w:hint="eastAsia" w:ascii="宋体" w:hAnsi="宋体"/>
          <w:b/>
          <w:color w:val="000000"/>
        </w:rPr>
        <w:t>、合同份数</w:t>
      </w:r>
    </w:p>
    <w:p w14:paraId="3715C9B2">
      <w:pPr>
        <w:spacing w:line="400" w:lineRule="exact"/>
        <w:ind w:firstLine="420" w:firstLineChars="200"/>
        <w:rPr>
          <w:rFonts w:ascii="宋体" w:hAnsi="宋体"/>
          <w:b/>
          <w:color w:val="000000"/>
        </w:rPr>
      </w:pPr>
      <w:r>
        <w:rPr>
          <w:rFonts w:ascii="宋体" w:hAnsi="宋体"/>
          <w:color w:val="000000"/>
        </w:rPr>
        <w:t>46.1</w:t>
      </w:r>
      <w:r>
        <w:rPr>
          <w:rFonts w:hint="eastAsia" w:ascii="宋体" w:hAnsi="宋体"/>
          <w:color w:val="000000"/>
        </w:rPr>
        <w:t>双方约定合同副本份数：</w:t>
      </w:r>
      <w:r>
        <w:rPr>
          <w:rFonts w:hint="eastAsia" w:ascii="宋体" w:hAnsi="宋体"/>
          <w:b/>
          <w:color w:val="000000"/>
          <w:u w:val="single"/>
        </w:rPr>
        <w:t>正本贰份，副本贰份，共计肆份，双方各执贰份</w:t>
      </w:r>
      <w:r>
        <w:rPr>
          <w:rFonts w:hint="eastAsia" w:ascii="宋体" w:hAnsi="宋体"/>
          <w:b/>
          <w:color w:val="000000"/>
        </w:rPr>
        <w:t>。</w:t>
      </w:r>
    </w:p>
    <w:p w14:paraId="389FE5F4">
      <w:pPr>
        <w:spacing w:line="400" w:lineRule="exact"/>
        <w:ind w:firstLine="422" w:firstLineChars="200"/>
        <w:rPr>
          <w:rFonts w:ascii="宋体" w:hAnsi="宋体"/>
          <w:b/>
          <w:color w:val="000000"/>
        </w:rPr>
      </w:pPr>
      <w:r>
        <w:rPr>
          <w:rFonts w:hint="eastAsia" w:ascii="宋体" w:hAnsi="宋体"/>
          <w:b/>
          <w:color w:val="000000"/>
        </w:rPr>
        <w:t>47、补充条款</w:t>
      </w:r>
    </w:p>
    <w:p w14:paraId="47A56FB9">
      <w:pPr>
        <w:spacing w:line="400" w:lineRule="exact"/>
        <w:ind w:firstLine="420" w:firstLineChars="200"/>
        <w:rPr>
          <w:rFonts w:ascii="宋体" w:hAnsi="宋体"/>
          <w:color w:val="000000"/>
        </w:rPr>
      </w:pPr>
      <w:r>
        <w:rPr>
          <w:rFonts w:hint="eastAsia" w:ascii="宋体" w:hAnsi="宋体"/>
          <w:color w:val="000000"/>
        </w:rPr>
        <w:t>1.本工程实行监理制度，监理由发包人选择。</w:t>
      </w:r>
    </w:p>
    <w:p w14:paraId="4F46C643">
      <w:pPr>
        <w:spacing w:line="400" w:lineRule="exact"/>
        <w:ind w:firstLine="420" w:firstLineChars="200"/>
        <w:rPr>
          <w:rFonts w:ascii="宋体" w:hAnsi="宋体"/>
          <w:color w:val="000000"/>
        </w:rPr>
      </w:pPr>
      <w:r>
        <w:rPr>
          <w:rFonts w:hint="eastAsia" w:ascii="宋体" w:hAnsi="宋体"/>
          <w:color w:val="000000"/>
        </w:rPr>
        <w:t>2.承包人必须服从发包人和监理工程师的管理监督，施工中发生的质量问题必须及时处理；因承包人原因被责令停工和返工，所造成的一切损失由承包人负责。</w:t>
      </w:r>
    </w:p>
    <w:p w14:paraId="54289439">
      <w:pPr>
        <w:spacing w:line="400" w:lineRule="exact"/>
        <w:ind w:firstLine="420" w:firstLineChars="200"/>
        <w:rPr>
          <w:rFonts w:ascii="宋体" w:hAnsi="宋体"/>
          <w:color w:val="000000"/>
        </w:rPr>
      </w:pPr>
      <w:r>
        <w:rPr>
          <w:rFonts w:hint="eastAsia" w:ascii="宋体" w:hAnsi="宋体"/>
          <w:color w:val="000000"/>
        </w:rPr>
        <w:t>3.本工程严禁使用不合格或不符合设计要求的材料，一经发现，限期退场，不按要求退场的，造成的损失由承包人负责。</w:t>
      </w:r>
    </w:p>
    <w:p w14:paraId="78A56460">
      <w:pPr>
        <w:spacing w:line="400" w:lineRule="exact"/>
        <w:ind w:firstLine="420" w:firstLineChars="200"/>
        <w:rPr>
          <w:rFonts w:ascii="宋体" w:hAnsi="宋体"/>
          <w:color w:val="000000"/>
        </w:rPr>
      </w:pPr>
      <w:r>
        <w:rPr>
          <w:rFonts w:hint="eastAsia" w:ascii="宋体" w:hAnsi="宋体"/>
          <w:color w:val="000000"/>
        </w:rPr>
        <w:t>4.在履行合同过程中，承包人应遵守国家或地方的法律、法规、法令、或任何对工程有管辖权的部门的规章，并按要求支付有关费用。</w:t>
      </w:r>
    </w:p>
    <w:p w14:paraId="31BF39F3">
      <w:pPr>
        <w:spacing w:line="400" w:lineRule="exact"/>
        <w:ind w:firstLine="420" w:firstLineChars="200"/>
        <w:rPr>
          <w:rFonts w:ascii="宋体" w:hAnsi="宋体"/>
          <w:color w:val="000000"/>
        </w:rPr>
      </w:pPr>
      <w:r>
        <w:rPr>
          <w:rFonts w:hint="eastAsia" w:ascii="宋体" w:hAnsi="宋体"/>
          <w:color w:val="000000"/>
        </w:rPr>
        <w:t>5.无论发包人是否给予了批准或同意，承包人应对现场作业、施工方法及所施工工程的完备性、稳定性和安全性承担全部责任，负责完成对工程的稳定、完整、安全、可靠及有效运行所必须的全部工作。</w:t>
      </w:r>
    </w:p>
    <w:p w14:paraId="64D3877F">
      <w:pPr>
        <w:spacing w:line="400" w:lineRule="exact"/>
        <w:ind w:firstLine="420" w:firstLineChars="200"/>
        <w:rPr>
          <w:rFonts w:ascii="宋体" w:hAnsi="宋体"/>
          <w:color w:val="000000"/>
        </w:rPr>
      </w:pPr>
      <w:r>
        <w:rPr>
          <w:rFonts w:hint="eastAsia" w:ascii="宋体" w:hAnsi="宋体"/>
          <w:color w:val="000000"/>
        </w:rPr>
        <w:t>6.承包人承诺未经发包人同意不得更换其建造师。</w:t>
      </w:r>
    </w:p>
    <w:p w14:paraId="47C86781">
      <w:pPr>
        <w:spacing w:line="400" w:lineRule="exact"/>
        <w:ind w:firstLine="420" w:firstLineChars="200"/>
        <w:rPr>
          <w:rFonts w:ascii="宋体" w:hAnsi="宋体"/>
          <w:color w:val="000000"/>
        </w:rPr>
      </w:pPr>
      <w:r>
        <w:rPr>
          <w:rFonts w:hint="eastAsia" w:ascii="宋体" w:hAnsi="宋体"/>
          <w:color w:val="000000"/>
        </w:rPr>
        <w:t>7.承包人承诺本工程不转包，否则发包人有权没收质量、工期保证金，并取消中标资格，已完工程量不予结算，罚款3万元。</w:t>
      </w:r>
    </w:p>
    <w:p w14:paraId="54F5FEA2">
      <w:pPr>
        <w:spacing w:line="400" w:lineRule="exact"/>
        <w:ind w:firstLine="420" w:firstLineChars="200"/>
        <w:rPr>
          <w:rFonts w:ascii="宋体" w:hAnsi="宋体"/>
          <w:color w:val="000000"/>
        </w:rPr>
      </w:pPr>
      <w:r>
        <w:rPr>
          <w:rFonts w:hint="eastAsia" w:ascii="宋体" w:hAnsi="宋体"/>
          <w:color w:val="000000"/>
        </w:rPr>
        <w:t>8.派驻现场的项目负责人必须遵守以下规定：</w:t>
      </w:r>
    </w:p>
    <w:p w14:paraId="7F8FB91E">
      <w:pPr>
        <w:spacing w:line="400" w:lineRule="exact"/>
        <w:ind w:firstLine="420" w:firstLineChars="200"/>
        <w:rPr>
          <w:rFonts w:hint="eastAsia" w:ascii="宋体" w:hAnsi="宋体"/>
          <w:bCs/>
          <w:color w:val="000000"/>
          <w:sz w:val="21"/>
          <w:szCs w:val="21"/>
        </w:rPr>
      </w:pPr>
      <w:r>
        <w:rPr>
          <w:rFonts w:hint="eastAsia" w:ascii="宋体" w:hAnsi="宋体"/>
          <w:color w:val="000000"/>
        </w:rPr>
        <w:t>（1）派驻现场的项目负责人应与投标文件一致，</w:t>
      </w:r>
      <w:r>
        <w:rPr>
          <w:rFonts w:hint="eastAsia" w:ascii="宋体" w:hAnsi="宋体"/>
          <w:bCs/>
          <w:color w:val="000000"/>
        </w:rPr>
        <w:t>不得</w:t>
      </w:r>
      <w:r>
        <w:rPr>
          <w:rFonts w:hint="eastAsia" w:ascii="宋体" w:hAnsi="宋体"/>
          <w:bCs/>
          <w:color w:val="000000"/>
          <w:lang w:val="en-US" w:eastAsia="zh-CN"/>
        </w:rPr>
        <w:t>私自</w:t>
      </w:r>
      <w:r>
        <w:rPr>
          <w:rFonts w:hint="eastAsia" w:ascii="宋体" w:hAnsi="宋体"/>
          <w:bCs/>
          <w:color w:val="000000"/>
        </w:rPr>
        <w:t>更换项目负责人，否则发包人有</w:t>
      </w:r>
      <w:r>
        <w:rPr>
          <w:rFonts w:hint="eastAsia" w:ascii="宋体" w:hAnsi="宋体"/>
          <w:bCs/>
          <w:color w:val="000000"/>
          <w:sz w:val="21"/>
          <w:szCs w:val="21"/>
        </w:rPr>
        <w:t>权终止合同，一切损失由承包人自行负责。</w:t>
      </w:r>
    </w:p>
    <w:p w14:paraId="13870A1F">
      <w:pPr>
        <w:autoSpaceDE w:val="0"/>
        <w:autoSpaceDN w:val="0"/>
        <w:adjustRightInd w:val="0"/>
        <w:spacing w:line="360" w:lineRule="exact"/>
        <w:ind w:firstLine="420" w:firstLineChars="200"/>
        <w:jc w:val="left"/>
        <w:rPr>
          <w:rFonts w:ascii="宋体" w:hAnsi="宋体" w:cs="仿宋"/>
          <w:bCs/>
          <w:sz w:val="21"/>
          <w:szCs w:val="21"/>
          <w:highlight w:val="yellow"/>
        </w:rPr>
      </w:pPr>
      <w:r>
        <w:rPr>
          <w:rFonts w:hint="eastAsia" w:ascii="宋体" w:hAnsi="宋体" w:cs="仿宋"/>
          <w:bCs/>
          <w:sz w:val="21"/>
          <w:szCs w:val="21"/>
          <w:highlight w:val="yellow"/>
          <w:lang w:eastAsia="zh-CN"/>
        </w:rPr>
        <w:t>（</w:t>
      </w:r>
      <w:r>
        <w:rPr>
          <w:rFonts w:hint="eastAsia" w:ascii="宋体" w:hAnsi="宋体" w:cs="仿宋"/>
          <w:bCs/>
          <w:sz w:val="21"/>
          <w:szCs w:val="21"/>
          <w:highlight w:val="yellow"/>
          <w:lang w:val="en-US" w:eastAsia="zh-CN"/>
        </w:rPr>
        <w:t>2</w:t>
      </w:r>
      <w:r>
        <w:rPr>
          <w:rFonts w:hint="eastAsia" w:ascii="宋体" w:hAnsi="宋体" w:cs="仿宋"/>
          <w:bCs/>
          <w:sz w:val="21"/>
          <w:szCs w:val="21"/>
          <w:highlight w:val="yellow"/>
          <w:lang w:eastAsia="zh-CN"/>
        </w:rPr>
        <w:t>）</w:t>
      </w:r>
      <w:r>
        <w:rPr>
          <w:rFonts w:hint="eastAsia" w:ascii="宋体" w:hAnsi="宋体" w:cs="仿宋"/>
          <w:bCs/>
          <w:sz w:val="21"/>
          <w:szCs w:val="21"/>
          <w:highlight w:val="yellow"/>
        </w:rPr>
        <w:t>本合同签订后</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投标时的授权委托人(项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负责人)如有特殊原因(死亡、伤残、重疾)确需更换的，须以书面形式向</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提出申请(</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签字盖章)并出具相关证明材料，在取得</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同意后可免除违约金，进行更换；除上述特殊原因外需更换的，同样须以书面形式向</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提出申请(</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签字盖章)，在征得</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同意并支付10000元违约金后，方可更换。任何原因下更换后的授权委托人(项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负责人)须满足招标文件及合同内规定的各项要求，执业资格证书及业绩条件等均必须等同于或高于投标时授权委托人(项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负责人)条件，并提供有效劳动合同。</w:t>
      </w:r>
    </w:p>
    <w:p w14:paraId="00643DA7">
      <w:pPr>
        <w:autoSpaceDE w:val="0"/>
        <w:autoSpaceDN w:val="0"/>
        <w:adjustRightInd w:val="0"/>
        <w:spacing w:line="360" w:lineRule="exact"/>
        <w:ind w:firstLine="420" w:firstLineChars="200"/>
        <w:jc w:val="left"/>
        <w:rPr>
          <w:rFonts w:hint="eastAsia" w:ascii="宋体" w:hAnsi="宋体" w:cs="仿宋"/>
          <w:bCs/>
          <w:sz w:val="21"/>
          <w:szCs w:val="21"/>
          <w:highlight w:val="yellow"/>
        </w:rPr>
      </w:pPr>
      <w:r>
        <w:rPr>
          <w:rFonts w:hint="eastAsia" w:ascii="宋体" w:hAnsi="宋体" w:cs="仿宋"/>
          <w:bCs/>
          <w:sz w:val="21"/>
          <w:szCs w:val="21"/>
          <w:highlight w:val="yellow"/>
        </w:rPr>
        <w:t>注:死亡须提供死亡证明，伤残须发生在合同签订后履职期间内，并提供政府权威部门出具的伤残鉴定证明，重疾须发生在合同签订后履职期间内，并提供三级甲等及以上医院证明。</w:t>
      </w:r>
    </w:p>
    <w:p w14:paraId="7D65DC3C">
      <w:pPr>
        <w:spacing w:line="400" w:lineRule="exact"/>
        <w:ind w:firstLine="420" w:firstLineChars="200"/>
        <w:rPr>
          <w:rFonts w:hint="eastAsia" w:ascii="宋体" w:hAnsi="宋体"/>
          <w:bCs/>
          <w:color w:val="000000"/>
          <w:sz w:val="21"/>
          <w:szCs w:val="21"/>
        </w:rPr>
      </w:pPr>
      <w:r>
        <w:rPr>
          <w:rFonts w:hint="eastAsia" w:ascii="宋体" w:hAnsi="宋体" w:cs="仿宋"/>
          <w:bCs/>
          <w:sz w:val="21"/>
          <w:szCs w:val="21"/>
          <w:highlight w:val="yellow"/>
          <w:lang w:val="en-US" w:eastAsia="zh-CN"/>
        </w:rPr>
        <w:t>（3）承包人</w:t>
      </w:r>
      <w:r>
        <w:rPr>
          <w:rFonts w:hint="eastAsia" w:ascii="宋体" w:hAnsi="宋体" w:cs="仿宋"/>
          <w:bCs/>
          <w:sz w:val="21"/>
          <w:szCs w:val="21"/>
          <w:highlight w:val="yellow"/>
        </w:rPr>
        <w:t>的授权委托人(项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负责人)在合同期内，未能按照招标文件及合同等甲方管理办法履职的，</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有权通知</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按照更换授权委托人(项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负责人)相关合同条款规定更换授权委托人(项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w:t>
      </w:r>
      <w:r>
        <w:rPr>
          <w:rFonts w:hint="eastAsia" w:ascii="宋体" w:hAnsi="宋体" w:eastAsia="宋体" w:cs="仿宋"/>
          <w:bCs/>
          <w:sz w:val="21"/>
          <w:szCs w:val="21"/>
          <w:highlight w:val="yellow"/>
        </w:rPr>
        <w:t>并支付10000元违约金</w:t>
      </w:r>
      <w:r>
        <w:rPr>
          <w:rFonts w:hint="eastAsia" w:ascii="宋体" w:hAnsi="宋体" w:cs="仿宋"/>
          <w:bCs/>
          <w:sz w:val="21"/>
          <w:szCs w:val="21"/>
          <w:highlight w:val="yellow"/>
        </w:rPr>
        <w:t>，</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须按照</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通知要求及时更换授权委托人(项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负责人)，如拒不更换或更换后仍然履职不到位的，</w:t>
      </w:r>
      <w:r>
        <w:rPr>
          <w:rFonts w:hint="eastAsia" w:ascii="宋体" w:hAnsi="宋体" w:cs="仿宋"/>
          <w:bCs/>
          <w:sz w:val="21"/>
          <w:szCs w:val="21"/>
          <w:highlight w:val="yellow"/>
          <w:lang w:val="en-US" w:eastAsia="zh-CN"/>
        </w:rPr>
        <w:t>发包人</w:t>
      </w:r>
      <w:r>
        <w:rPr>
          <w:rFonts w:hint="eastAsia" w:ascii="宋体" w:hAnsi="宋体" w:cs="仿宋"/>
          <w:bCs/>
          <w:sz w:val="21"/>
          <w:szCs w:val="21"/>
          <w:highlight w:val="yellow"/>
        </w:rPr>
        <w:t>有权取消其</w:t>
      </w:r>
      <w:r>
        <w:rPr>
          <w:rFonts w:hint="eastAsia" w:ascii="宋体" w:hAnsi="宋体" w:cs="仿宋"/>
          <w:bCs/>
          <w:sz w:val="21"/>
          <w:szCs w:val="21"/>
          <w:highlight w:val="yellow"/>
          <w:lang w:val="en-US" w:eastAsia="zh-CN"/>
        </w:rPr>
        <w:t>中标</w:t>
      </w:r>
      <w:r>
        <w:rPr>
          <w:rFonts w:hint="eastAsia" w:ascii="宋体" w:hAnsi="宋体" w:cs="仿宋"/>
          <w:bCs/>
          <w:sz w:val="21"/>
          <w:szCs w:val="21"/>
          <w:highlight w:val="yellow"/>
        </w:rPr>
        <w:t>资格，解除本合同，并没收</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履约保证金，且</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及</w:t>
      </w:r>
      <w:r>
        <w:rPr>
          <w:rFonts w:hint="eastAsia" w:ascii="宋体" w:hAnsi="宋体" w:cs="仿宋"/>
          <w:bCs/>
          <w:sz w:val="21"/>
          <w:szCs w:val="21"/>
          <w:highlight w:val="yellow"/>
          <w:lang w:val="en-US" w:eastAsia="zh-CN"/>
        </w:rPr>
        <w:t>承包人</w:t>
      </w:r>
      <w:r>
        <w:rPr>
          <w:rFonts w:hint="eastAsia" w:ascii="宋体" w:hAnsi="宋体" w:cs="仿宋"/>
          <w:bCs/>
          <w:sz w:val="21"/>
          <w:szCs w:val="21"/>
          <w:highlight w:val="yellow"/>
        </w:rPr>
        <w:t>授权委托人(项</w:t>
      </w:r>
      <w:r>
        <w:rPr>
          <w:rFonts w:hint="eastAsia" w:ascii="宋体" w:hAnsi="宋体" w:cs="仿宋"/>
          <w:bCs/>
          <w:sz w:val="21"/>
          <w:szCs w:val="21"/>
          <w:highlight w:val="yellow"/>
          <w:lang w:val="en-US" w:eastAsia="zh-CN"/>
        </w:rPr>
        <w:t>目</w:t>
      </w:r>
      <w:r>
        <w:rPr>
          <w:rFonts w:hint="eastAsia" w:ascii="宋体" w:hAnsi="宋体" w:cs="仿宋"/>
          <w:bCs/>
          <w:sz w:val="21"/>
          <w:szCs w:val="21"/>
          <w:highlight w:val="yellow"/>
        </w:rPr>
        <w:t>负责人)</w:t>
      </w:r>
      <w:r>
        <w:rPr>
          <w:rFonts w:hint="eastAsia" w:ascii="宋体" w:hAnsi="宋体" w:cs="仿宋"/>
          <w:bCs/>
          <w:sz w:val="21"/>
          <w:szCs w:val="21"/>
          <w:highlight w:val="yellow"/>
          <w:lang w:val="en-US" w:eastAsia="zh-CN"/>
        </w:rPr>
        <w:t>五</w:t>
      </w:r>
      <w:r>
        <w:rPr>
          <w:rFonts w:hint="eastAsia" w:ascii="宋体" w:hAnsi="宋体" w:cs="仿宋"/>
          <w:bCs/>
          <w:sz w:val="21"/>
          <w:szCs w:val="21"/>
          <w:highlight w:val="yellow"/>
        </w:rPr>
        <w:t>年内不得参与鑫汇集团所有工程招标。</w:t>
      </w:r>
    </w:p>
    <w:p w14:paraId="264EC04D">
      <w:pPr>
        <w:spacing w:line="400" w:lineRule="exact"/>
        <w:ind w:firstLine="420" w:firstLineChars="200"/>
        <w:rPr>
          <w:rFonts w:ascii="宋体" w:hAnsi="宋体"/>
          <w:color w:val="000000"/>
        </w:rPr>
      </w:pPr>
      <w:r>
        <w:rPr>
          <w:rFonts w:hint="eastAsia" w:ascii="宋体" w:hAnsi="宋体"/>
          <w:color w:val="000000"/>
          <w:sz w:val="21"/>
          <w:szCs w:val="21"/>
        </w:rPr>
        <w:t>（</w:t>
      </w:r>
      <w:r>
        <w:rPr>
          <w:rFonts w:hint="eastAsia" w:ascii="宋体" w:hAnsi="宋体"/>
          <w:color w:val="000000"/>
          <w:sz w:val="21"/>
          <w:szCs w:val="21"/>
          <w:lang w:val="en-US" w:eastAsia="zh-CN"/>
        </w:rPr>
        <w:t>4</w:t>
      </w:r>
      <w:r>
        <w:rPr>
          <w:rFonts w:hint="eastAsia" w:ascii="宋体" w:hAnsi="宋体"/>
          <w:color w:val="000000"/>
          <w:sz w:val="21"/>
          <w:szCs w:val="21"/>
        </w:rPr>
        <w:t>）</w:t>
      </w:r>
      <w:r>
        <w:rPr>
          <w:rFonts w:hint="eastAsia" w:ascii="宋体" w:hAnsi="宋体"/>
          <w:b/>
          <w:color w:val="000000"/>
          <w:sz w:val="21"/>
          <w:szCs w:val="21"/>
          <w:u w:val="single"/>
        </w:rPr>
        <w:t>项目经理必须保证每周出勤不少于5天，或每周正常施工期间在工地不少于28小时，每月由监理人负责检查考核，并报发包人；承包人投标时确定的项目班子组成人员不得擅自更换，且应在项目现场工作；承包人的项目经理必须参加工程例会并汇报工程情况，工程竣工前项目经理请假经批准最多不超过三次，三次以上每缺会一次扣罚人民币壹仟元，由监理在下一次的工程预付款中明确扣除款额。</w:t>
      </w:r>
      <w:r>
        <w:rPr>
          <w:rFonts w:hint="eastAsia" w:ascii="宋体" w:hAnsi="宋体"/>
          <w:color w:val="000000"/>
          <w:sz w:val="21"/>
          <w:szCs w:val="21"/>
        </w:rPr>
        <w:t>施工单位在中标后报送的施工组织设计中所安排的质检员、施工员、材料员、安全员均须坚守施工现场,建设单位</w:t>
      </w:r>
      <w:r>
        <w:rPr>
          <w:rFonts w:hint="eastAsia" w:ascii="宋体" w:hAnsi="宋体"/>
          <w:color w:val="000000"/>
        </w:rPr>
        <w:t>和监理机构可随时检查。如发现五大员人员未经审批擅自更换,除责令施工单位立即予以纠正外,按每发现一人次给予1000元的处罚。</w:t>
      </w:r>
    </w:p>
    <w:p w14:paraId="036320AC">
      <w:pPr>
        <w:spacing w:line="400" w:lineRule="exact"/>
        <w:ind w:firstLine="420" w:firstLineChars="200"/>
        <w:rPr>
          <w:rFonts w:ascii="宋体" w:hAnsi="宋体"/>
          <w:color w:val="000000"/>
        </w:rPr>
      </w:pPr>
      <w:r>
        <w:rPr>
          <w:rFonts w:hint="eastAsia" w:ascii="宋体" w:hAnsi="宋体"/>
          <w:color w:val="000000"/>
        </w:rPr>
        <w:t>9.承包人要做到减少噪音及环境污染，文明施工达标，如有投诉，按每有一起罚款2000元。</w:t>
      </w:r>
    </w:p>
    <w:p w14:paraId="191BB940">
      <w:pPr>
        <w:spacing w:line="400" w:lineRule="exact"/>
        <w:ind w:firstLine="420" w:firstLineChars="200"/>
        <w:rPr>
          <w:rFonts w:ascii="宋体" w:hAnsi="宋体"/>
          <w:color w:val="000000"/>
        </w:rPr>
      </w:pPr>
      <w:r>
        <w:rPr>
          <w:rFonts w:hint="eastAsia" w:ascii="宋体" w:hAnsi="宋体"/>
          <w:color w:val="000000"/>
        </w:rPr>
        <w:t>10.发包人代扣、代承包人支付的所有费用从工程款中扣除。</w:t>
      </w:r>
    </w:p>
    <w:p w14:paraId="37CC3C8E">
      <w:pPr>
        <w:spacing w:line="400" w:lineRule="exact"/>
        <w:ind w:firstLine="420" w:firstLineChars="200"/>
        <w:rPr>
          <w:rFonts w:ascii="宋体" w:hAnsi="宋体"/>
          <w:color w:val="000000"/>
        </w:rPr>
      </w:pPr>
      <w:r>
        <w:rPr>
          <w:rFonts w:hint="eastAsia" w:ascii="宋体" w:hAnsi="宋体"/>
          <w:color w:val="000000"/>
        </w:rPr>
        <w:t>11.文明施工措施费，结算时按南通市通州区造价管理处核定为准。承包人须按规定在工程施工过程中申请文明施工措施费的核定，如系工程竣工后再行提出申请核定，发包人将不予理采，并不得计入结算。</w:t>
      </w:r>
    </w:p>
    <w:p w14:paraId="6843271C">
      <w:pPr>
        <w:spacing w:line="400" w:lineRule="exact"/>
        <w:ind w:firstLine="420" w:firstLineChars="200"/>
        <w:rPr>
          <w:rFonts w:ascii="宋体" w:hAnsi="宋体"/>
          <w:color w:val="000000"/>
        </w:rPr>
      </w:pPr>
      <w:r>
        <w:rPr>
          <w:rFonts w:hint="eastAsia" w:ascii="宋体" w:hAnsi="宋体"/>
          <w:color w:val="000000"/>
        </w:rPr>
        <w:t>12.施工过程中的排污、环保、市容、城建城管、消防、治安、人口管理等办理相关手续以及对临近居民、行人的影响等，由承包人负责协调处理，并承担相关的费用。</w:t>
      </w:r>
    </w:p>
    <w:p w14:paraId="0955FAB7">
      <w:pPr>
        <w:spacing w:line="400" w:lineRule="exact"/>
        <w:ind w:firstLine="420" w:firstLineChars="200"/>
        <w:rPr>
          <w:rFonts w:ascii="宋体" w:hAnsi="宋体"/>
          <w:color w:val="000000"/>
        </w:rPr>
      </w:pPr>
      <w:r>
        <w:rPr>
          <w:rFonts w:hint="eastAsia" w:ascii="宋体" w:hAnsi="宋体"/>
          <w:color w:val="000000"/>
        </w:rPr>
        <w:t>13.本工程设施工安全保证金为合同价款的</w:t>
      </w:r>
      <w:r>
        <w:rPr>
          <w:rFonts w:hint="eastAsia" w:ascii="宋体" w:hAnsi="宋体"/>
          <w:color w:val="000000"/>
          <w:highlight w:val="yellow"/>
          <w:lang w:val="en-US" w:eastAsia="zh-CN"/>
        </w:rPr>
        <w:t>6</w:t>
      </w:r>
      <w:r>
        <w:rPr>
          <w:rFonts w:hint="eastAsia" w:ascii="宋体" w:hAnsi="宋体"/>
          <w:color w:val="000000"/>
          <w:highlight w:val="yellow"/>
        </w:rPr>
        <w:t>%</w:t>
      </w:r>
      <w:r>
        <w:rPr>
          <w:rFonts w:hint="eastAsia" w:ascii="宋体" w:hAnsi="宋体"/>
          <w:color w:val="000000"/>
        </w:rPr>
        <w:t>，竣工</w:t>
      </w:r>
      <w:r>
        <w:rPr>
          <w:rFonts w:hint="eastAsia" w:ascii="宋体" w:hAnsi="宋体"/>
          <w:color w:val="000000"/>
          <w:lang w:val="en-US" w:eastAsia="zh-CN"/>
        </w:rPr>
        <w:t>资料</w:t>
      </w:r>
      <w:r>
        <w:rPr>
          <w:rFonts w:hint="eastAsia" w:ascii="宋体" w:hAnsi="宋体"/>
          <w:color w:val="000000"/>
        </w:rPr>
        <w:t>履约保证金为合同价款</w:t>
      </w:r>
      <w:r>
        <w:rPr>
          <w:rFonts w:hint="eastAsia" w:ascii="宋体" w:hAnsi="宋体"/>
          <w:color w:val="000000"/>
          <w:highlight w:val="yellow"/>
          <w:lang w:val="en-US" w:eastAsia="zh-CN"/>
        </w:rPr>
        <w:t>1</w:t>
      </w:r>
      <w:r>
        <w:rPr>
          <w:rFonts w:hint="eastAsia" w:ascii="宋体" w:hAnsi="宋体"/>
          <w:color w:val="000000"/>
          <w:highlight w:val="yellow"/>
        </w:rPr>
        <w:t>%</w:t>
      </w:r>
      <w:r>
        <w:rPr>
          <w:rFonts w:hint="eastAsia" w:ascii="宋体" w:hAnsi="宋体"/>
          <w:color w:val="000000"/>
        </w:rPr>
        <w:t>,廉政保证金为合同价款的</w:t>
      </w:r>
      <w:r>
        <w:rPr>
          <w:rFonts w:hint="eastAsia" w:ascii="宋体" w:hAnsi="宋体"/>
          <w:color w:val="000000"/>
          <w:highlight w:val="yellow"/>
        </w:rPr>
        <w:t>1%</w:t>
      </w:r>
      <w:r>
        <w:rPr>
          <w:rFonts w:hint="eastAsia" w:ascii="宋体" w:hAnsi="宋体"/>
          <w:color w:val="000000"/>
        </w:rPr>
        <w:t>。</w:t>
      </w:r>
    </w:p>
    <w:p w14:paraId="21EDF4F8">
      <w:pPr>
        <w:spacing w:line="400" w:lineRule="exact"/>
        <w:ind w:firstLine="420" w:firstLineChars="200"/>
        <w:rPr>
          <w:rFonts w:ascii="宋体" w:hAnsi="宋体"/>
          <w:color w:val="000000"/>
        </w:rPr>
      </w:pPr>
      <w:r>
        <w:rPr>
          <w:rFonts w:hint="eastAsia" w:ascii="宋体" w:hAnsi="宋体"/>
          <w:color w:val="000000"/>
        </w:rPr>
        <w:t>14.承包人在施工过程中，如有以下情形，招标人可对承包人直接处以200～5000元的罚款：A：施工期间工程资料不能及时到位的；B：隐蔽部位不经验收通过就进行下一道工序的；C：不论以何种形式被发现偷工减料、以次充好的；D：不按施工图及设计规范的要求，擅自施工的；E：安全文明生产措施不到位</w:t>
      </w:r>
    </w:p>
    <w:p w14:paraId="546FC146">
      <w:pPr>
        <w:adjustRightInd w:val="0"/>
        <w:snapToGrid w:val="0"/>
        <w:spacing w:line="400" w:lineRule="exact"/>
        <w:ind w:firstLine="420" w:firstLineChars="200"/>
        <w:rPr>
          <w:rFonts w:ascii="宋体" w:hAnsi="宋体"/>
          <w:color w:val="000000"/>
        </w:rPr>
      </w:pPr>
      <w:r>
        <w:rPr>
          <w:rFonts w:hint="eastAsia" w:ascii="宋体" w:hAnsi="宋体"/>
          <w:color w:val="000000"/>
        </w:rPr>
        <w:t>15.施工过程中，因承包人施工原因，而造成煤气、自来水管道、雨污分流管等受到破坏的，除承包人须按规定修复外，发包人可对承包人处以500元/次处罚。</w:t>
      </w:r>
    </w:p>
    <w:p w14:paraId="1564357C">
      <w:pPr>
        <w:adjustRightInd w:val="0"/>
        <w:snapToGrid w:val="0"/>
        <w:spacing w:line="400" w:lineRule="exact"/>
        <w:ind w:firstLine="420" w:firstLineChars="200"/>
        <w:rPr>
          <w:rFonts w:ascii="宋体" w:hAnsi="宋体"/>
          <w:color w:val="000000"/>
        </w:rPr>
      </w:pPr>
      <w:r>
        <w:rPr>
          <w:rFonts w:hint="eastAsia" w:ascii="宋体" w:hAnsi="宋体"/>
          <w:color w:val="000000"/>
        </w:rPr>
        <w:t>16.如承包人发生上述情况而拒交罚金的，发包人有权从工程款中或履约保证金中双倍扣除。</w:t>
      </w:r>
    </w:p>
    <w:p w14:paraId="7BE13B12">
      <w:pPr>
        <w:adjustRightInd w:val="0"/>
        <w:snapToGrid w:val="0"/>
        <w:spacing w:line="400" w:lineRule="exact"/>
        <w:ind w:firstLine="420" w:firstLineChars="200"/>
        <w:rPr>
          <w:rFonts w:ascii="宋体" w:hAnsi="宋体"/>
          <w:color w:val="000000"/>
        </w:rPr>
      </w:pPr>
      <w:r>
        <w:rPr>
          <w:rFonts w:hint="eastAsia" w:ascii="宋体" w:hAnsi="宋体"/>
          <w:color w:val="000000"/>
        </w:rPr>
        <w:t>17. 认真做好廉政建设的各项规定及办法，不以任何形式向业主、质监、监理、设计、地质等相关单位人员赠送各种礼品、礼券或现金等，如有贿赂行为，廉政保证金(为合同价款的</w:t>
      </w:r>
      <w:r>
        <w:rPr>
          <w:rFonts w:hint="eastAsia" w:ascii="宋体" w:hAnsi="宋体"/>
          <w:color w:val="000000"/>
          <w:highlight w:val="yellow"/>
          <w:lang w:val="en-US" w:eastAsia="zh-CN"/>
        </w:rPr>
        <w:t>1</w:t>
      </w:r>
      <w:r>
        <w:rPr>
          <w:rFonts w:hint="eastAsia" w:ascii="宋体" w:hAnsi="宋体"/>
          <w:color w:val="000000"/>
          <w:highlight w:val="yellow"/>
        </w:rPr>
        <w:t>%</w:t>
      </w:r>
      <w:r>
        <w:rPr>
          <w:rFonts w:hint="eastAsia" w:ascii="宋体" w:hAnsi="宋体"/>
          <w:color w:val="000000"/>
        </w:rPr>
        <w:t>)予以没收。</w:t>
      </w:r>
    </w:p>
    <w:p w14:paraId="048E394A">
      <w:pPr>
        <w:spacing w:line="440" w:lineRule="exact"/>
        <w:jc w:val="center"/>
        <w:rPr>
          <w:rFonts w:ascii="宋体" w:hAnsi="宋体"/>
          <w:color w:val="000000"/>
          <w:sz w:val="24"/>
          <w:szCs w:val="24"/>
        </w:rPr>
      </w:pPr>
    </w:p>
    <w:p w14:paraId="0543D3E9">
      <w:pPr>
        <w:spacing w:line="440" w:lineRule="exact"/>
        <w:jc w:val="center"/>
        <w:rPr>
          <w:rFonts w:ascii="宋体" w:hAnsi="宋体"/>
          <w:color w:val="000000"/>
          <w:sz w:val="24"/>
          <w:szCs w:val="24"/>
        </w:rPr>
      </w:pPr>
    </w:p>
    <w:p w14:paraId="3ABE9E06">
      <w:pPr>
        <w:spacing w:line="440" w:lineRule="exact"/>
        <w:jc w:val="center"/>
        <w:rPr>
          <w:rFonts w:ascii="宋体" w:hAnsi="宋体"/>
          <w:color w:val="000000"/>
          <w:sz w:val="24"/>
          <w:szCs w:val="24"/>
        </w:rPr>
      </w:pPr>
    </w:p>
    <w:p w14:paraId="67720F05">
      <w:pPr>
        <w:spacing w:line="440" w:lineRule="exact"/>
        <w:jc w:val="center"/>
        <w:rPr>
          <w:rFonts w:ascii="宋体" w:hAnsi="宋体"/>
          <w:color w:val="000000"/>
          <w:sz w:val="24"/>
          <w:szCs w:val="24"/>
        </w:rPr>
      </w:pPr>
    </w:p>
    <w:p w14:paraId="6BF7E9D3">
      <w:pPr>
        <w:spacing w:line="440" w:lineRule="exact"/>
        <w:jc w:val="center"/>
        <w:rPr>
          <w:rFonts w:ascii="宋体" w:hAnsi="宋体"/>
          <w:color w:val="000000"/>
          <w:sz w:val="24"/>
          <w:szCs w:val="24"/>
        </w:rPr>
      </w:pPr>
    </w:p>
    <w:p w14:paraId="4507B62F">
      <w:pPr>
        <w:spacing w:line="440" w:lineRule="exact"/>
        <w:jc w:val="center"/>
        <w:rPr>
          <w:rFonts w:ascii="宋体" w:hAnsi="宋体"/>
          <w:color w:val="000000"/>
          <w:sz w:val="24"/>
          <w:szCs w:val="24"/>
        </w:rPr>
      </w:pPr>
    </w:p>
    <w:p w14:paraId="6CB9EB78">
      <w:pPr>
        <w:spacing w:line="440" w:lineRule="exact"/>
        <w:jc w:val="center"/>
        <w:rPr>
          <w:rFonts w:ascii="宋体" w:hAnsi="宋体"/>
          <w:color w:val="000000"/>
          <w:sz w:val="24"/>
          <w:szCs w:val="24"/>
        </w:rPr>
      </w:pPr>
    </w:p>
    <w:p w14:paraId="3129D243">
      <w:pPr>
        <w:spacing w:line="440" w:lineRule="exact"/>
        <w:jc w:val="center"/>
        <w:rPr>
          <w:rFonts w:ascii="宋体" w:hAnsi="宋体"/>
          <w:color w:val="000000"/>
          <w:sz w:val="24"/>
          <w:szCs w:val="24"/>
        </w:rPr>
      </w:pPr>
    </w:p>
    <w:p w14:paraId="7E8F99FE">
      <w:pPr>
        <w:spacing w:line="440" w:lineRule="exact"/>
        <w:jc w:val="center"/>
        <w:rPr>
          <w:rFonts w:hint="eastAsia" w:hAnsi="宋体"/>
          <w:color w:val="000000"/>
          <w:sz w:val="30"/>
          <w:szCs w:val="30"/>
        </w:rPr>
      </w:pPr>
    </w:p>
    <w:p w14:paraId="467C6096">
      <w:pPr>
        <w:spacing w:line="440" w:lineRule="exact"/>
        <w:jc w:val="center"/>
        <w:rPr>
          <w:rFonts w:hint="eastAsia" w:hAnsi="宋体"/>
          <w:color w:val="000000"/>
          <w:sz w:val="30"/>
          <w:szCs w:val="30"/>
        </w:rPr>
      </w:pPr>
    </w:p>
    <w:p w14:paraId="571D6928">
      <w:pPr>
        <w:spacing w:line="440" w:lineRule="exact"/>
        <w:jc w:val="center"/>
        <w:rPr>
          <w:rFonts w:hint="eastAsia" w:hAnsi="宋体"/>
          <w:color w:val="000000"/>
          <w:sz w:val="30"/>
          <w:szCs w:val="30"/>
        </w:rPr>
      </w:pPr>
    </w:p>
    <w:p w14:paraId="17950C3C">
      <w:pPr>
        <w:spacing w:line="440" w:lineRule="exact"/>
        <w:jc w:val="center"/>
        <w:rPr>
          <w:rFonts w:hint="eastAsia" w:hAnsi="宋体"/>
          <w:color w:val="000000"/>
          <w:sz w:val="30"/>
          <w:szCs w:val="30"/>
        </w:rPr>
      </w:pPr>
    </w:p>
    <w:p w14:paraId="1FB68947">
      <w:pPr>
        <w:spacing w:line="440" w:lineRule="exact"/>
        <w:jc w:val="center"/>
        <w:rPr>
          <w:rFonts w:hint="eastAsia" w:hAnsi="宋体"/>
          <w:color w:val="000000"/>
          <w:sz w:val="30"/>
          <w:szCs w:val="30"/>
        </w:rPr>
      </w:pPr>
    </w:p>
    <w:p w14:paraId="60B712C2">
      <w:pPr>
        <w:spacing w:line="440" w:lineRule="exact"/>
        <w:jc w:val="center"/>
        <w:rPr>
          <w:rFonts w:hint="eastAsia" w:hAnsi="宋体"/>
          <w:color w:val="000000"/>
          <w:sz w:val="30"/>
          <w:szCs w:val="30"/>
        </w:rPr>
      </w:pPr>
    </w:p>
    <w:p w14:paraId="74284C8D">
      <w:pPr>
        <w:spacing w:line="440" w:lineRule="exact"/>
        <w:jc w:val="center"/>
        <w:rPr>
          <w:rFonts w:hint="eastAsia" w:hAnsi="宋体"/>
          <w:color w:val="000000"/>
          <w:sz w:val="30"/>
          <w:szCs w:val="30"/>
        </w:rPr>
      </w:pPr>
    </w:p>
    <w:p w14:paraId="13D01EE4">
      <w:pPr>
        <w:spacing w:line="440" w:lineRule="exact"/>
        <w:jc w:val="center"/>
        <w:rPr>
          <w:rFonts w:hint="eastAsia" w:hAnsi="宋体"/>
          <w:color w:val="000000"/>
          <w:sz w:val="30"/>
          <w:szCs w:val="30"/>
        </w:rPr>
      </w:pPr>
    </w:p>
    <w:p w14:paraId="11BC3E4E">
      <w:pPr>
        <w:spacing w:line="440" w:lineRule="exact"/>
        <w:jc w:val="center"/>
        <w:rPr>
          <w:rFonts w:hint="eastAsia" w:hAnsi="宋体"/>
          <w:color w:val="000000"/>
          <w:sz w:val="30"/>
          <w:szCs w:val="30"/>
        </w:rPr>
      </w:pPr>
    </w:p>
    <w:p w14:paraId="24D73C64">
      <w:pPr>
        <w:spacing w:line="440" w:lineRule="exact"/>
        <w:jc w:val="center"/>
        <w:rPr>
          <w:rFonts w:hint="eastAsia" w:hAnsi="宋体"/>
          <w:color w:val="000000"/>
          <w:sz w:val="30"/>
          <w:szCs w:val="30"/>
        </w:rPr>
      </w:pPr>
    </w:p>
    <w:p w14:paraId="538E3F1B">
      <w:pPr>
        <w:spacing w:line="440" w:lineRule="exact"/>
        <w:jc w:val="center"/>
        <w:rPr>
          <w:rFonts w:hint="eastAsia" w:hAnsi="宋体"/>
          <w:color w:val="000000"/>
          <w:sz w:val="30"/>
          <w:szCs w:val="30"/>
        </w:rPr>
      </w:pPr>
    </w:p>
    <w:p w14:paraId="493BFB67">
      <w:pPr>
        <w:spacing w:line="440" w:lineRule="exact"/>
        <w:jc w:val="center"/>
        <w:rPr>
          <w:rFonts w:hint="eastAsia" w:hAnsi="宋体"/>
          <w:color w:val="000000"/>
          <w:sz w:val="30"/>
          <w:szCs w:val="30"/>
        </w:rPr>
      </w:pPr>
    </w:p>
    <w:p w14:paraId="5D9BAE1A">
      <w:pPr>
        <w:spacing w:line="440" w:lineRule="exact"/>
        <w:jc w:val="center"/>
        <w:rPr>
          <w:rFonts w:hint="eastAsia" w:hAnsi="宋体"/>
          <w:color w:val="000000"/>
          <w:sz w:val="30"/>
          <w:szCs w:val="30"/>
        </w:rPr>
      </w:pPr>
    </w:p>
    <w:p w14:paraId="36A00C09">
      <w:pPr>
        <w:spacing w:line="440" w:lineRule="exact"/>
        <w:jc w:val="center"/>
        <w:rPr>
          <w:rFonts w:hint="eastAsia" w:hAnsi="宋体"/>
          <w:color w:val="000000"/>
          <w:sz w:val="30"/>
          <w:szCs w:val="30"/>
        </w:rPr>
      </w:pPr>
    </w:p>
    <w:p w14:paraId="51167018">
      <w:pPr>
        <w:spacing w:line="440" w:lineRule="exact"/>
        <w:jc w:val="center"/>
        <w:rPr>
          <w:rFonts w:hint="eastAsia" w:hAnsi="宋体"/>
          <w:color w:val="000000"/>
          <w:sz w:val="30"/>
          <w:szCs w:val="30"/>
        </w:rPr>
      </w:pPr>
    </w:p>
    <w:p w14:paraId="7FCB30D6">
      <w:pPr>
        <w:spacing w:line="440" w:lineRule="exact"/>
        <w:jc w:val="center"/>
        <w:rPr>
          <w:rFonts w:hAnsi="宋体"/>
          <w:color w:val="000000"/>
          <w:sz w:val="24"/>
          <w:szCs w:val="24"/>
        </w:rPr>
      </w:pPr>
      <w:r>
        <w:rPr>
          <w:rFonts w:hAnsi="宋体"/>
          <w:color w:val="000000"/>
          <w:sz w:val="30"/>
          <w:szCs w:val="30"/>
        </w:rPr>
        <w:t>工程质量保修书</w:t>
      </w:r>
    </w:p>
    <w:p w14:paraId="763ADD3F">
      <w:pPr>
        <w:spacing w:line="440" w:lineRule="exact"/>
        <w:ind w:firstLine="420" w:firstLineChars="200"/>
        <w:rPr>
          <w:rFonts w:hAnsi="宋体"/>
          <w:color w:val="000000"/>
        </w:rPr>
      </w:pPr>
      <w:r>
        <w:rPr>
          <w:rFonts w:hAnsi="宋体"/>
          <w:color w:val="000000"/>
        </w:rPr>
        <w:t xml:space="preserve">发包人（全称）： </w:t>
      </w:r>
    </w:p>
    <w:p w14:paraId="199B2E93">
      <w:pPr>
        <w:spacing w:line="440" w:lineRule="exact"/>
        <w:rPr>
          <w:rFonts w:hAnsi="宋体"/>
          <w:color w:val="000000"/>
        </w:rPr>
      </w:pPr>
      <w:r>
        <w:rPr>
          <w:rFonts w:hint="eastAsia" w:hAnsi="宋体"/>
          <w:color w:val="000000"/>
        </w:rPr>
        <w:t>　　承包人（全称）：</w:t>
      </w:r>
    </w:p>
    <w:p w14:paraId="5FCC3B51">
      <w:pPr>
        <w:spacing w:line="360" w:lineRule="auto"/>
        <w:rPr>
          <w:rFonts w:hAnsi="宋体"/>
          <w:color w:val="000000"/>
        </w:rPr>
      </w:pPr>
      <w:r>
        <w:rPr>
          <w:rFonts w:hAnsi="宋体"/>
          <w:color w:val="000000"/>
        </w:rPr>
        <w:t>　　发包人和承包人根据《中华人民共和国建筑法》和《建设工程质量管理条例》，经协商一致就</w:t>
      </w:r>
      <w:r>
        <w:rPr>
          <w:rFonts w:hint="eastAsia" w:hAnsi="宋体"/>
          <w:b/>
          <w:bCs/>
          <w:color w:val="000000"/>
          <w:highlight w:val="yellow"/>
          <w:u w:val="single"/>
        </w:rPr>
        <w:t>西站大道二期给水工程海星电子厂区段顶管专业分包项目</w:t>
      </w:r>
      <w:r>
        <w:rPr>
          <w:rFonts w:hAnsi="宋体"/>
          <w:color w:val="000000"/>
        </w:rPr>
        <w:t>（工程全称）签订工程质量保修书。</w:t>
      </w:r>
    </w:p>
    <w:p w14:paraId="5C8DCBEB">
      <w:pPr>
        <w:spacing w:line="360" w:lineRule="auto"/>
        <w:rPr>
          <w:rFonts w:hAnsi="宋体"/>
          <w:color w:val="000000"/>
        </w:rPr>
      </w:pPr>
      <w:r>
        <w:rPr>
          <w:rFonts w:hAnsi="宋体"/>
          <w:color w:val="000000"/>
        </w:rPr>
        <w:t>　　一、工程质量保修范围和内容</w:t>
      </w:r>
    </w:p>
    <w:p w14:paraId="30FD3675">
      <w:pPr>
        <w:spacing w:line="360" w:lineRule="auto"/>
        <w:rPr>
          <w:rFonts w:hAnsi="宋体"/>
          <w:color w:val="000000"/>
        </w:rPr>
      </w:pPr>
      <w:r>
        <w:rPr>
          <w:rFonts w:hAnsi="宋体"/>
          <w:color w:val="000000"/>
        </w:rPr>
        <w:t>　　承包人在质量保修期内，按照有关法律规定和合同约定，承担工程质量保修责任。</w:t>
      </w:r>
    </w:p>
    <w:p w14:paraId="5C22D671">
      <w:pPr>
        <w:spacing w:line="360" w:lineRule="auto"/>
        <w:rPr>
          <w:rFonts w:hAnsi="宋体"/>
          <w:color w:val="000000"/>
        </w:rPr>
      </w:pPr>
      <w:r>
        <w:rPr>
          <w:rFonts w:hAnsi="宋体"/>
          <w:color w:val="000000"/>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48DE4DF4">
      <w:pPr>
        <w:spacing w:line="360" w:lineRule="auto"/>
        <w:rPr>
          <w:rFonts w:hAnsi="宋体"/>
          <w:color w:val="000000"/>
        </w:rPr>
      </w:pPr>
      <w:r>
        <w:rPr>
          <w:rFonts w:hAnsi="宋体"/>
          <w:color w:val="000000"/>
        </w:rPr>
        <w:t>　</w:t>
      </w:r>
      <w:r>
        <w:rPr>
          <w:rFonts w:hint="eastAsia" w:hAnsi="宋体"/>
          <w:color w:val="000000"/>
          <w:u w:val="single"/>
        </w:rPr>
        <w:t>　本工程竣工时实际完成的所有工作内容</w:t>
      </w:r>
      <w:r>
        <w:rPr>
          <w:rFonts w:hAnsi="宋体"/>
          <w:color w:val="000000"/>
        </w:rPr>
        <w:t>。</w:t>
      </w:r>
    </w:p>
    <w:p w14:paraId="78BF57A2">
      <w:pPr>
        <w:spacing w:line="360" w:lineRule="auto"/>
        <w:rPr>
          <w:rFonts w:hAnsi="宋体"/>
          <w:color w:val="000000"/>
        </w:rPr>
      </w:pPr>
      <w:r>
        <w:rPr>
          <w:rFonts w:hAnsi="宋体"/>
          <w:b/>
          <w:color w:val="000000"/>
        </w:rPr>
        <w:t>　　</w:t>
      </w:r>
      <w:r>
        <w:rPr>
          <w:rFonts w:hAnsi="宋体"/>
          <w:color w:val="000000"/>
        </w:rPr>
        <w:t>二、质量保修期</w:t>
      </w:r>
    </w:p>
    <w:p w14:paraId="5198EED7">
      <w:pPr>
        <w:spacing w:line="360" w:lineRule="auto"/>
        <w:ind w:firstLine="420" w:firstLineChars="200"/>
        <w:rPr>
          <w:rFonts w:hAnsi="宋体"/>
          <w:color w:val="000000"/>
        </w:rPr>
      </w:pPr>
      <w:r>
        <w:rPr>
          <w:rFonts w:hAnsi="宋体"/>
          <w:color w:val="000000"/>
        </w:rPr>
        <w:t>根据《建设工程质量管理条例》及有关规定，工程的质量保修期如下：</w:t>
      </w:r>
    </w:p>
    <w:p w14:paraId="7CB4B3BE">
      <w:pPr>
        <w:spacing w:line="360" w:lineRule="auto"/>
        <w:ind w:firstLine="420" w:firstLineChars="200"/>
        <w:rPr>
          <w:rFonts w:hAnsi="宋体"/>
          <w:color w:val="000000"/>
        </w:rPr>
      </w:pPr>
      <w:r>
        <w:rPr>
          <w:rFonts w:hint="eastAsia" w:hAnsi="宋体"/>
          <w:color w:val="000000"/>
        </w:rPr>
        <w:t>1．地基基础工程和主体结构工程及外墙外保温系统工程（界面、保温、加强层等）为设计文件规定的该工程合理使用年限；</w:t>
      </w:r>
    </w:p>
    <w:p w14:paraId="41F5FBF1">
      <w:pPr>
        <w:spacing w:line="360" w:lineRule="auto"/>
        <w:ind w:firstLine="420" w:firstLineChars="200"/>
        <w:rPr>
          <w:rFonts w:hAnsi="宋体"/>
          <w:color w:val="000000"/>
        </w:rPr>
      </w:pPr>
      <w:r>
        <w:rPr>
          <w:rFonts w:hint="eastAsia" w:hAnsi="宋体"/>
          <w:color w:val="000000"/>
        </w:rPr>
        <w:t>2</w:t>
      </w:r>
      <w:r>
        <w:rPr>
          <w:rFonts w:hint="eastAsia" w:hAnsi="宋体"/>
        </w:rPr>
        <w:t>．</w:t>
      </w:r>
      <w:r>
        <w:rPr>
          <w:rFonts w:hAnsi="宋体"/>
          <w:color w:val="000000"/>
        </w:rPr>
        <w:t>屋面防水工程、有防水要求的卫生间、房间和外墙面的防渗</w:t>
      </w:r>
      <w:r>
        <w:rPr>
          <w:rFonts w:hint="eastAsia" w:hAnsi="宋体"/>
          <w:color w:val="000000"/>
        </w:rPr>
        <w:t>为</w:t>
      </w:r>
      <w:r>
        <w:rPr>
          <w:rFonts w:hint="eastAsia" w:hAnsi="宋体"/>
          <w:color w:val="000000"/>
          <w:u w:val="single"/>
        </w:rPr>
        <w:t xml:space="preserve"> 5 </w:t>
      </w:r>
      <w:r>
        <w:rPr>
          <w:rFonts w:hAnsi="宋体"/>
          <w:color w:val="000000"/>
        </w:rPr>
        <w:t>年；</w:t>
      </w:r>
    </w:p>
    <w:p w14:paraId="6FC85B97">
      <w:pPr>
        <w:spacing w:line="360" w:lineRule="auto"/>
        <w:ind w:firstLine="420" w:firstLineChars="200"/>
        <w:rPr>
          <w:rFonts w:hAnsi="宋体"/>
          <w:color w:val="000000"/>
        </w:rPr>
      </w:pPr>
      <w:r>
        <w:rPr>
          <w:rFonts w:hint="eastAsia" w:hAnsi="宋体"/>
          <w:color w:val="000000"/>
        </w:rPr>
        <w:t>3</w:t>
      </w:r>
      <w:r>
        <w:rPr>
          <w:rFonts w:hint="eastAsia" w:hAnsi="宋体"/>
        </w:rPr>
        <w:t>．</w:t>
      </w:r>
      <w:r>
        <w:rPr>
          <w:rFonts w:hAnsi="宋体"/>
          <w:color w:val="000000"/>
        </w:rPr>
        <w:t>装修工程为</w:t>
      </w:r>
      <w:r>
        <w:rPr>
          <w:rFonts w:hint="eastAsia" w:hAnsi="宋体"/>
          <w:color w:val="000000"/>
          <w:u w:val="single"/>
        </w:rPr>
        <w:t>2</w:t>
      </w:r>
      <w:r>
        <w:rPr>
          <w:rFonts w:hAnsi="宋体"/>
          <w:color w:val="000000"/>
        </w:rPr>
        <w:t>年；</w:t>
      </w:r>
    </w:p>
    <w:p w14:paraId="6D62B70E">
      <w:pPr>
        <w:spacing w:line="360" w:lineRule="auto"/>
        <w:ind w:firstLine="420" w:firstLineChars="200"/>
        <w:rPr>
          <w:rFonts w:hAnsi="宋体"/>
          <w:color w:val="000000"/>
        </w:rPr>
      </w:pPr>
      <w:r>
        <w:rPr>
          <w:rFonts w:hint="eastAsia" w:hAnsi="宋体"/>
          <w:color w:val="000000"/>
        </w:rPr>
        <w:t>4</w:t>
      </w:r>
      <w:r>
        <w:rPr>
          <w:rFonts w:hint="eastAsia" w:hAnsi="宋体"/>
        </w:rPr>
        <w:t>．</w:t>
      </w:r>
      <w:r>
        <w:rPr>
          <w:rFonts w:hAnsi="宋体"/>
          <w:color w:val="000000"/>
        </w:rPr>
        <w:t>电气管线、给排水管道、设备安装工程为</w:t>
      </w:r>
      <w:r>
        <w:rPr>
          <w:rFonts w:hint="eastAsia" w:hAnsi="宋体"/>
          <w:color w:val="000000"/>
          <w:u w:val="single"/>
        </w:rPr>
        <w:t>2</w:t>
      </w:r>
      <w:r>
        <w:rPr>
          <w:rFonts w:hAnsi="宋体"/>
          <w:color w:val="000000"/>
        </w:rPr>
        <w:t>年；</w:t>
      </w:r>
    </w:p>
    <w:p w14:paraId="65B6C757">
      <w:pPr>
        <w:spacing w:line="360" w:lineRule="auto"/>
        <w:ind w:firstLine="420" w:firstLineChars="200"/>
        <w:rPr>
          <w:rFonts w:hAnsi="宋体"/>
          <w:color w:val="000000"/>
        </w:rPr>
      </w:pPr>
      <w:r>
        <w:rPr>
          <w:rFonts w:hint="eastAsia" w:hAnsi="宋体"/>
          <w:color w:val="000000"/>
        </w:rPr>
        <w:t>5</w:t>
      </w:r>
      <w:r>
        <w:rPr>
          <w:rFonts w:hint="eastAsia" w:hAnsi="宋体"/>
        </w:rPr>
        <w:t>．</w:t>
      </w:r>
      <w:r>
        <w:rPr>
          <w:rFonts w:hAnsi="宋体"/>
          <w:color w:val="000000"/>
        </w:rPr>
        <w:t>供热与供冷系统为</w:t>
      </w:r>
      <w:r>
        <w:rPr>
          <w:rFonts w:hint="eastAsia" w:hAnsi="宋体"/>
          <w:color w:val="000000"/>
          <w:u w:val="single"/>
        </w:rPr>
        <w:t>2</w:t>
      </w:r>
      <w:r>
        <w:rPr>
          <w:rFonts w:hAnsi="宋体"/>
          <w:color w:val="000000"/>
        </w:rPr>
        <w:t>个采暖期、供冷期；</w:t>
      </w:r>
    </w:p>
    <w:p w14:paraId="1797FD96">
      <w:pPr>
        <w:spacing w:line="360" w:lineRule="auto"/>
        <w:ind w:firstLine="420" w:firstLineChars="200"/>
        <w:rPr>
          <w:rFonts w:hAnsi="宋体"/>
          <w:color w:val="000000"/>
        </w:rPr>
      </w:pPr>
      <w:r>
        <w:rPr>
          <w:rFonts w:hint="eastAsia" w:hAnsi="宋体"/>
          <w:color w:val="000000"/>
        </w:rPr>
        <w:t>6</w:t>
      </w:r>
      <w:r>
        <w:rPr>
          <w:rFonts w:hint="eastAsia" w:hAnsi="宋体"/>
        </w:rPr>
        <w:t>．</w:t>
      </w:r>
      <w:r>
        <w:rPr>
          <w:rFonts w:hAnsi="宋体"/>
          <w:color w:val="000000"/>
        </w:rPr>
        <w:t>住宅小区内的给排水设施、道路等配套工程为</w:t>
      </w:r>
      <w:r>
        <w:rPr>
          <w:rFonts w:hint="eastAsia" w:hAnsi="宋体"/>
          <w:color w:val="000000"/>
          <w:u w:val="single"/>
        </w:rPr>
        <w:t>2</w:t>
      </w:r>
      <w:r>
        <w:rPr>
          <w:rFonts w:hAnsi="宋体"/>
          <w:color w:val="000000"/>
        </w:rPr>
        <w:t>年；</w:t>
      </w:r>
    </w:p>
    <w:p w14:paraId="10ADF11F">
      <w:pPr>
        <w:spacing w:line="360" w:lineRule="auto"/>
        <w:ind w:firstLine="420" w:firstLineChars="200"/>
        <w:rPr>
          <w:rFonts w:hAnsi="宋体"/>
          <w:color w:val="000000"/>
        </w:rPr>
      </w:pPr>
      <w:r>
        <w:rPr>
          <w:rFonts w:hint="eastAsia" w:hAnsi="宋体"/>
          <w:color w:val="000000"/>
        </w:rPr>
        <w:t>7</w:t>
      </w:r>
      <w:r>
        <w:rPr>
          <w:rFonts w:hint="eastAsia" w:hAnsi="宋体"/>
        </w:rPr>
        <w:t>．</w:t>
      </w:r>
      <w:r>
        <w:rPr>
          <w:rFonts w:hAnsi="宋体"/>
          <w:color w:val="000000"/>
        </w:rPr>
        <w:t>其他项目保修期限约定如下：</w:t>
      </w:r>
    </w:p>
    <w:p w14:paraId="1D0B8BF7">
      <w:pPr>
        <w:spacing w:line="360" w:lineRule="auto"/>
        <w:ind w:firstLine="413" w:firstLineChars="196"/>
        <w:rPr>
          <w:rFonts w:hAnsi="宋体"/>
          <w:color w:val="000000"/>
        </w:rPr>
      </w:pPr>
      <w:r>
        <w:rPr>
          <w:rFonts w:hint="eastAsia" w:hAnsi="宋体"/>
          <w:b/>
          <w:u w:val="single"/>
        </w:rPr>
        <w:t>本工程项目质量保修期为两年，发包人对质量保修金的退还并不代表承包人免除相应的保修责任，如招标文件技术要求中设备质量保修期大于两年的，承包人承诺按技术要求明确的期限提供质量保修服务</w:t>
      </w:r>
      <w:r>
        <w:rPr>
          <w:rFonts w:hAnsi="宋体"/>
          <w:color w:val="000000"/>
        </w:rPr>
        <w:t>。</w:t>
      </w:r>
    </w:p>
    <w:p w14:paraId="08A05A3A">
      <w:pPr>
        <w:spacing w:line="360" w:lineRule="auto"/>
        <w:rPr>
          <w:rFonts w:hAnsi="宋体"/>
          <w:color w:val="000000"/>
        </w:rPr>
      </w:pPr>
      <w:r>
        <w:rPr>
          <w:rFonts w:hAnsi="宋体"/>
          <w:color w:val="000000"/>
        </w:rPr>
        <w:t>　　质量保修期自工程竣工验收合格之日起计算。</w:t>
      </w:r>
    </w:p>
    <w:p w14:paraId="5298B6F6">
      <w:pPr>
        <w:spacing w:line="360" w:lineRule="auto"/>
        <w:ind w:firstLine="420" w:firstLineChars="200"/>
        <w:rPr>
          <w:rFonts w:hAnsi="宋体"/>
          <w:color w:val="000000"/>
        </w:rPr>
      </w:pPr>
      <w:r>
        <w:rPr>
          <w:rFonts w:hAnsi="宋体"/>
          <w:color w:val="000000"/>
        </w:rPr>
        <w:t>三、缺陷责任期</w:t>
      </w:r>
    </w:p>
    <w:p w14:paraId="08AA469C">
      <w:pPr>
        <w:spacing w:line="360" w:lineRule="auto"/>
        <w:ind w:firstLine="420" w:firstLineChars="200"/>
        <w:rPr>
          <w:rFonts w:hAnsi="宋体"/>
          <w:color w:val="000000"/>
        </w:rPr>
      </w:pPr>
      <w:r>
        <w:rPr>
          <w:rFonts w:hAnsi="宋体"/>
          <w:color w:val="000000"/>
        </w:rPr>
        <w:t>工程缺陷责任期为</w:t>
      </w:r>
      <w:r>
        <w:rPr>
          <w:rFonts w:hint="eastAsia" w:hAnsi="宋体"/>
          <w:color w:val="000000"/>
          <w:u w:val="single"/>
        </w:rPr>
        <w:t>24</w:t>
      </w:r>
      <w:r>
        <w:rPr>
          <w:rFonts w:hAnsi="宋体"/>
          <w:color w:val="000000"/>
        </w:rPr>
        <w:t>个月，缺陷责任期自工程竣工验收合格之日起计算。单位工程先于全部工程进行验收，单位工程缺陷责任期自单位工程验收合格之日起算。</w:t>
      </w:r>
    </w:p>
    <w:p w14:paraId="752F85B5">
      <w:pPr>
        <w:autoSpaceDE w:val="0"/>
        <w:autoSpaceDN w:val="0"/>
        <w:adjustRightInd w:val="0"/>
        <w:spacing w:line="480" w:lineRule="exact"/>
        <w:ind w:firstLine="422" w:firstLineChars="200"/>
        <w:jc w:val="left"/>
        <w:rPr>
          <w:rFonts w:hAnsi="宋体"/>
          <w:b/>
          <w:color w:val="000000"/>
        </w:rPr>
      </w:pPr>
      <w:r>
        <w:rPr>
          <w:rFonts w:hint="eastAsia" w:hAnsi="宋体"/>
          <w:b/>
          <w:color w:val="000000"/>
        </w:rPr>
        <w:t>工程质量保修金为工程竣工结算价的3%，本工程质量保修金的返还时间为工程竣工验收合格满二年后付清质量保修金（不计息）。</w:t>
      </w:r>
    </w:p>
    <w:p w14:paraId="418E4F34">
      <w:pPr>
        <w:autoSpaceDE w:val="0"/>
        <w:autoSpaceDN w:val="0"/>
        <w:adjustRightInd w:val="0"/>
        <w:spacing w:line="480" w:lineRule="exact"/>
        <w:ind w:firstLine="422" w:firstLineChars="200"/>
        <w:jc w:val="left"/>
        <w:rPr>
          <w:rFonts w:hAnsi="宋体"/>
          <w:b/>
          <w:color w:val="000000"/>
        </w:rPr>
      </w:pPr>
      <w:r>
        <w:rPr>
          <w:rFonts w:hint="eastAsia" w:hAnsi="宋体"/>
          <w:b/>
          <w:color w:val="000000"/>
        </w:rPr>
        <w:t>如对工程质量保修金的管理政府相应管理部门有新规定的，双方同意按照政府的相应规定办理。</w:t>
      </w:r>
    </w:p>
    <w:p w14:paraId="6D4CD0E2">
      <w:pPr>
        <w:spacing w:line="360" w:lineRule="auto"/>
        <w:rPr>
          <w:rFonts w:hAnsi="宋体"/>
          <w:color w:val="000000"/>
        </w:rPr>
      </w:pPr>
      <w:r>
        <w:rPr>
          <w:rFonts w:hAnsi="宋体"/>
          <w:color w:val="000000"/>
        </w:rPr>
        <w:t>四、质量保修责任</w:t>
      </w:r>
    </w:p>
    <w:p w14:paraId="1D9DE33D">
      <w:pPr>
        <w:spacing w:line="360" w:lineRule="auto"/>
        <w:ind w:left="105" w:leftChars="50" w:firstLine="430" w:firstLineChars="205"/>
        <w:rPr>
          <w:rFonts w:hAnsi="宋体"/>
          <w:color w:val="0D0D0D"/>
        </w:rPr>
      </w:pPr>
      <w:r>
        <w:rPr>
          <w:rFonts w:hint="eastAsia" w:hAnsi="宋体"/>
          <w:color w:val="000000"/>
        </w:rPr>
        <w:t>1</w:t>
      </w:r>
      <w:r>
        <w:rPr>
          <w:rFonts w:hint="eastAsia" w:hAnsi="宋体"/>
        </w:rPr>
        <w:t>．</w:t>
      </w:r>
      <w:r>
        <w:rPr>
          <w:rFonts w:hAnsi="宋体"/>
          <w:color w:val="000000"/>
        </w:rPr>
        <w:t>属于保修范围、内容的项目，承包人应当在接到保修通知之日起</w:t>
      </w:r>
      <w:r>
        <w:rPr>
          <w:rFonts w:hint="eastAsia" w:hAnsi="宋体"/>
          <w:color w:val="000000"/>
        </w:rPr>
        <w:t>2</w:t>
      </w:r>
      <w:r>
        <w:rPr>
          <w:rFonts w:hAnsi="宋体"/>
          <w:color w:val="000000"/>
        </w:rPr>
        <w:t>天内派人保修</w:t>
      </w:r>
      <w:r>
        <w:rPr>
          <w:rFonts w:hint="eastAsia" w:hAnsi="宋体"/>
          <w:color w:val="0D0D0D"/>
        </w:rPr>
        <w:t>（除不可抗力外）</w:t>
      </w:r>
      <w:r>
        <w:rPr>
          <w:rFonts w:hAnsi="宋体"/>
          <w:color w:val="0D0D0D"/>
        </w:rPr>
        <w:t>。承包人不在约定期限内派人保修的，发包人可以委托他人修理。</w:t>
      </w:r>
      <w:r>
        <w:rPr>
          <w:rFonts w:hint="eastAsia" w:hAnsi="宋体"/>
          <w:color w:val="0D0D0D"/>
        </w:rPr>
        <w:t>若发包人委托他人修理的，发生的费用由</w:t>
      </w:r>
      <w:r>
        <w:rPr>
          <w:rFonts w:hint="eastAsia" w:hAnsi="宋体" w:cs="仿宋_GB2312"/>
          <w:color w:val="0D0D0D"/>
        </w:rPr>
        <w:t>承包人承担，具体工程量以发包人和监理单位签证为准，</w:t>
      </w:r>
      <w:r>
        <w:rPr>
          <w:rFonts w:hint="eastAsia" w:hAnsi="宋体"/>
          <w:color w:val="0D0D0D"/>
        </w:rPr>
        <w:t>结算费用按</w:t>
      </w:r>
      <w:r>
        <w:rPr>
          <w:rFonts w:hint="eastAsia" w:hAnsi="宋体" w:cs="仿宋_GB2312"/>
          <w:color w:val="0D0D0D"/>
        </w:rPr>
        <w:t>《江苏省建设工程费用定额》*1.2计取，并在当年付清给发包人委托的修理人</w:t>
      </w:r>
      <w:r>
        <w:rPr>
          <w:rFonts w:hint="eastAsia" w:hAnsi="宋体"/>
          <w:color w:val="0D0D0D"/>
        </w:rPr>
        <w:t>。</w:t>
      </w:r>
    </w:p>
    <w:p w14:paraId="5626FB20">
      <w:pPr>
        <w:spacing w:line="360" w:lineRule="auto"/>
        <w:ind w:left="105" w:leftChars="50" w:firstLine="430" w:firstLineChars="205"/>
        <w:rPr>
          <w:rFonts w:hAnsi="宋体"/>
          <w:color w:val="000000"/>
        </w:rPr>
      </w:pPr>
      <w:r>
        <w:rPr>
          <w:rFonts w:hint="eastAsia" w:hAnsi="宋体"/>
          <w:color w:val="000000"/>
        </w:rPr>
        <w:t>2</w:t>
      </w:r>
      <w:r>
        <w:rPr>
          <w:rFonts w:hint="eastAsia" w:hAnsi="宋体"/>
        </w:rPr>
        <w:t>．</w:t>
      </w:r>
      <w:r>
        <w:rPr>
          <w:rFonts w:hAnsi="宋体"/>
          <w:color w:val="000000"/>
        </w:rPr>
        <w:t>发生紧急事故需抢修的，承包人在接到事故通知后，应当立即到达事故现场抢修。</w:t>
      </w:r>
    </w:p>
    <w:p w14:paraId="14BB2F83">
      <w:pPr>
        <w:spacing w:line="360" w:lineRule="auto"/>
        <w:ind w:left="105" w:leftChars="50" w:firstLine="430" w:firstLineChars="205"/>
        <w:rPr>
          <w:rFonts w:hAnsi="宋体"/>
          <w:color w:val="000000"/>
        </w:rPr>
      </w:pPr>
      <w:r>
        <w:rPr>
          <w:rFonts w:hint="eastAsia" w:hAnsi="宋体"/>
          <w:color w:val="000000"/>
        </w:rPr>
        <w:t>3</w:t>
      </w:r>
      <w:r>
        <w:rPr>
          <w:rFonts w:hint="eastAsia" w:hAnsi="宋体"/>
        </w:rPr>
        <w:t>．</w:t>
      </w:r>
      <w:r>
        <w:rPr>
          <w:rFonts w:hAnsi="宋体"/>
          <w:color w:val="000000"/>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43624ABA">
      <w:pPr>
        <w:spacing w:line="360" w:lineRule="auto"/>
        <w:ind w:left="420" w:leftChars="200" w:firstLine="105" w:firstLineChars="50"/>
        <w:rPr>
          <w:rFonts w:hAnsi="宋体"/>
          <w:color w:val="000000"/>
        </w:rPr>
      </w:pPr>
      <w:r>
        <w:rPr>
          <w:rFonts w:hint="eastAsia" w:hAnsi="宋体"/>
          <w:color w:val="000000"/>
        </w:rPr>
        <w:t>4</w:t>
      </w:r>
      <w:r>
        <w:rPr>
          <w:rFonts w:hint="eastAsia" w:hAnsi="宋体"/>
        </w:rPr>
        <w:t>．</w:t>
      </w:r>
      <w:r>
        <w:rPr>
          <w:rFonts w:hAnsi="宋体"/>
          <w:color w:val="000000"/>
        </w:rPr>
        <w:t>质量保修完成后，由发包人组织验收。</w:t>
      </w:r>
    </w:p>
    <w:p w14:paraId="21951158">
      <w:pPr>
        <w:spacing w:line="360" w:lineRule="auto"/>
        <w:rPr>
          <w:rFonts w:hAnsi="宋体"/>
          <w:color w:val="000000"/>
        </w:rPr>
      </w:pPr>
      <w:r>
        <w:rPr>
          <w:rFonts w:hAnsi="宋体"/>
          <w:color w:val="000000"/>
        </w:rPr>
        <w:t>　　五、保修费用</w:t>
      </w:r>
    </w:p>
    <w:p w14:paraId="57173C92">
      <w:pPr>
        <w:spacing w:line="360" w:lineRule="auto"/>
        <w:rPr>
          <w:rFonts w:hAnsi="宋体"/>
          <w:color w:val="000000"/>
        </w:rPr>
      </w:pPr>
      <w:r>
        <w:rPr>
          <w:rFonts w:hAnsi="宋体"/>
          <w:color w:val="000000"/>
        </w:rPr>
        <w:t>　　保修费用由造成质量缺陷的责任方承担。</w:t>
      </w:r>
    </w:p>
    <w:p w14:paraId="00AC2815">
      <w:pPr>
        <w:spacing w:line="360" w:lineRule="auto"/>
        <w:ind w:firstLine="413" w:firstLineChars="196"/>
        <w:rPr>
          <w:rFonts w:hAnsi="宋体"/>
          <w:color w:val="000000"/>
        </w:rPr>
      </w:pPr>
      <w:r>
        <w:rPr>
          <w:rFonts w:hAnsi="宋体"/>
          <w:b/>
          <w:color w:val="000000"/>
        </w:rPr>
        <w:t>六</w:t>
      </w:r>
      <w:r>
        <w:rPr>
          <w:rFonts w:hAnsi="宋体"/>
          <w:color w:val="000000"/>
        </w:rPr>
        <w:t>、双方约定的其他工程质量保修事项：</w:t>
      </w:r>
      <w:r>
        <w:rPr>
          <w:rFonts w:hint="eastAsia" w:hAnsi="宋体"/>
          <w:b/>
          <w:color w:val="000000"/>
          <w:u w:val="single"/>
        </w:rPr>
        <w:t>施工合同专用条款中对质量保修有规定的，按照专用条款的规定执行</w:t>
      </w:r>
      <w:r>
        <w:rPr>
          <w:rFonts w:hAnsi="宋体"/>
          <w:color w:val="000000"/>
        </w:rPr>
        <w:t>。</w:t>
      </w:r>
    </w:p>
    <w:p w14:paraId="74DEE94A">
      <w:pPr>
        <w:spacing w:line="360" w:lineRule="auto"/>
        <w:ind w:firstLine="399" w:firstLineChars="190"/>
        <w:rPr>
          <w:rFonts w:hAnsi="宋体"/>
          <w:color w:val="000000"/>
        </w:rPr>
      </w:pPr>
      <w:r>
        <w:rPr>
          <w:rFonts w:hAnsi="宋体"/>
          <w:color w:val="000000"/>
        </w:rPr>
        <w:t>工程质量保修书由发包人、承包人在工程竣工验收前共同签署，作为施工合同附件，其有效期限至保修期满。</w:t>
      </w:r>
    </w:p>
    <w:p w14:paraId="43E97CD6">
      <w:pPr>
        <w:spacing w:line="500" w:lineRule="exact"/>
        <w:rPr>
          <w:rFonts w:hAnsi="宋体"/>
          <w:color w:val="000000"/>
        </w:rPr>
      </w:pPr>
      <w:r>
        <w:rPr>
          <w:rFonts w:hint="eastAsia" w:hAnsi="宋体"/>
          <w:color w:val="000000"/>
        </w:rPr>
        <w:t>发包人：  (公章)                      承包人：  (公章)</w:t>
      </w:r>
    </w:p>
    <w:p w14:paraId="1348FF53">
      <w:pPr>
        <w:spacing w:line="500" w:lineRule="exact"/>
        <w:rPr>
          <w:rFonts w:hAnsi="宋体"/>
          <w:color w:val="000000"/>
          <w:u w:val="single"/>
        </w:rPr>
      </w:pPr>
    </w:p>
    <w:p w14:paraId="7E8E8B3F">
      <w:pPr>
        <w:spacing w:line="500" w:lineRule="exact"/>
        <w:rPr>
          <w:rFonts w:hAnsi="宋体"/>
          <w:color w:val="000000"/>
        </w:rPr>
      </w:pPr>
      <w:r>
        <w:rPr>
          <w:rFonts w:hint="eastAsia" w:hAnsi="宋体"/>
          <w:color w:val="000000"/>
        </w:rPr>
        <w:t>法定代表人或其委托代理人：           法定代表人或其委托代理人：</w:t>
      </w:r>
    </w:p>
    <w:p w14:paraId="012834FA">
      <w:pPr>
        <w:spacing w:line="500" w:lineRule="exact"/>
        <w:rPr>
          <w:rFonts w:hAnsi="宋体"/>
          <w:color w:val="000000"/>
        </w:rPr>
      </w:pPr>
      <w:r>
        <w:rPr>
          <w:rFonts w:hint="eastAsia" w:hAnsi="宋体"/>
          <w:color w:val="000000"/>
        </w:rPr>
        <w:t>（签字）                               （签字）</w:t>
      </w:r>
    </w:p>
    <w:p w14:paraId="1106CD7F">
      <w:pPr>
        <w:tabs>
          <w:tab w:val="left" w:pos="4410"/>
        </w:tabs>
        <w:spacing w:line="500" w:lineRule="exact"/>
        <w:rPr>
          <w:rFonts w:hAnsi="宋体"/>
          <w:color w:val="000000"/>
        </w:rPr>
      </w:pPr>
      <w:r>
        <w:rPr>
          <w:rFonts w:hint="eastAsia" w:hAnsi="宋体"/>
          <w:color w:val="000000"/>
        </w:rPr>
        <w:t>社会统一信用代码：                    社会统一信用代码：</w:t>
      </w:r>
    </w:p>
    <w:p w14:paraId="46909D50">
      <w:pPr>
        <w:spacing w:line="500" w:lineRule="exact"/>
        <w:rPr>
          <w:rFonts w:hAnsi="宋体"/>
          <w:color w:val="000000"/>
        </w:rPr>
      </w:pPr>
      <w:r>
        <w:rPr>
          <w:rFonts w:hint="eastAsia" w:hAnsi="宋体"/>
          <w:color w:val="000000"/>
        </w:rPr>
        <w:t>地址：                                地址：</w:t>
      </w:r>
    </w:p>
    <w:p w14:paraId="0F157259">
      <w:pPr>
        <w:spacing w:line="500" w:lineRule="exact"/>
        <w:rPr>
          <w:rFonts w:hAnsi="宋体"/>
          <w:color w:val="000000"/>
        </w:rPr>
      </w:pPr>
      <w:r>
        <w:rPr>
          <w:rFonts w:hint="eastAsia" w:hAnsi="宋体"/>
          <w:color w:val="000000"/>
        </w:rPr>
        <w:t>邮政编码：                            邮政编码：</w:t>
      </w:r>
    </w:p>
    <w:p w14:paraId="19479A6D">
      <w:pPr>
        <w:spacing w:line="500" w:lineRule="exact"/>
        <w:rPr>
          <w:rFonts w:hAnsi="宋体"/>
          <w:color w:val="000000"/>
        </w:rPr>
      </w:pPr>
      <w:r>
        <w:rPr>
          <w:rFonts w:hint="eastAsia" w:hAnsi="宋体"/>
          <w:color w:val="000000"/>
        </w:rPr>
        <w:t>法定代表人：                          法定代表人：</w:t>
      </w:r>
    </w:p>
    <w:p w14:paraId="413CE2B8">
      <w:pPr>
        <w:spacing w:line="500" w:lineRule="exact"/>
        <w:rPr>
          <w:rFonts w:hAnsi="宋体"/>
          <w:color w:val="000000"/>
        </w:rPr>
      </w:pPr>
      <w:r>
        <w:rPr>
          <w:rFonts w:hint="eastAsia" w:hAnsi="宋体"/>
          <w:color w:val="000000"/>
        </w:rPr>
        <w:t>委托代理人：                          委托代理人：</w:t>
      </w:r>
    </w:p>
    <w:p w14:paraId="55D09C75">
      <w:pPr>
        <w:spacing w:line="500" w:lineRule="exact"/>
        <w:rPr>
          <w:rFonts w:hAnsi="宋体"/>
          <w:color w:val="000000"/>
        </w:rPr>
      </w:pPr>
      <w:r>
        <w:rPr>
          <w:rFonts w:hint="eastAsia" w:hAnsi="宋体"/>
          <w:color w:val="000000"/>
        </w:rPr>
        <w:t>电话：                                电话：</w:t>
      </w:r>
    </w:p>
    <w:p w14:paraId="3A4B6FAC">
      <w:pPr>
        <w:spacing w:line="500" w:lineRule="exact"/>
        <w:rPr>
          <w:rFonts w:hAnsi="宋体"/>
          <w:color w:val="000000"/>
        </w:rPr>
      </w:pPr>
      <w:r>
        <w:rPr>
          <w:rFonts w:hint="eastAsia" w:hAnsi="宋体"/>
          <w:color w:val="000000"/>
        </w:rPr>
        <w:t>传真：                                传真：</w:t>
      </w:r>
    </w:p>
    <w:p w14:paraId="1A18C991">
      <w:pPr>
        <w:spacing w:line="500" w:lineRule="exact"/>
        <w:rPr>
          <w:rFonts w:hAnsi="宋体"/>
          <w:color w:val="000000"/>
        </w:rPr>
      </w:pPr>
      <w:r>
        <w:rPr>
          <w:rFonts w:hint="eastAsia" w:hAnsi="宋体"/>
          <w:color w:val="000000"/>
        </w:rPr>
        <w:t>电子信箱：                            电子信箱：</w:t>
      </w:r>
    </w:p>
    <w:p w14:paraId="1F5AD839">
      <w:pPr>
        <w:spacing w:line="500" w:lineRule="exact"/>
        <w:rPr>
          <w:rFonts w:hAnsi="宋体"/>
          <w:color w:val="000000"/>
        </w:rPr>
      </w:pPr>
      <w:r>
        <w:rPr>
          <w:rFonts w:hint="eastAsia" w:hAnsi="宋体"/>
          <w:color w:val="000000"/>
        </w:rPr>
        <w:t>开户银行：                            开户银行：</w:t>
      </w:r>
    </w:p>
    <w:p w14:paraId="20BA1E97">
      <w:pPr>
        <w:spacing w:line="500" w:lineRule="exact"/>
        <w:rPr>
          <w:rFonts w:hAnsi="宋体"/>
          <w:color w:val="000000"/>
          <w:sz w:val="24"/>
          <w:szCs w:val="24"/>
        </w:rPr>
      </w:pPr>
      <w:r>
        <w:rPr>
          <w:rFonts w:hint="eastAsia" w:hAnsi="宋体"/>
          <w:color w:val="000000"/>
        </w:rPr>
        <w:t>账号：                                 账号</w:t>
      </w:r>
      <w:r>
        <w:rPr>
          <w:rFonts w:hint="eastAsia" w:hAnsi="宋体"/>
          <w:color w:val="000000"/>
          <w:sz w:val="24"/>
          <w:szCs w:val="24"/>
        </w:rPr>
        <w:t>：</w:t>
      </w:r>
    </w:p>
    <w:p w14:paraId="311330E2">
      <w:pPr>
        <w:spacing w:line="400" w:lineRule="exact"/>
        <w:ind w:firstLine="482"/>
        <w:jc w:val="center"/>
        <w:rPr>
          <w:rFonts w:hAnsi="宋体"/>
          <w:sz w:val="24"/>
          <w:szCs w:val="24"/>
        </w:rPr>
      </w:pPr>
    </w:p>
    <w:p w14:paraId="5E6C0C40">
      <w:pPr>
        <w:spacing w:line="400" w:lineRule="exact"/>
        <w:ind w:firstLine="482"/>
        <w:jc w:val="center"/>
        <w:rPr>
          <w:rFonts w:hint="eastAsia" w:ascii="宋体" w:hAnsi="宋体" w:cs="Arial"/>
          <w:b/>
          <w:bCs/>
          <w:sz w:val="28"/>
          <w:szCs w:val="28"/>
        </w:rPr>
      </w:pPr>
    </w:p>
    <w:p w14:paraId="56D82F9A">
      <w:pPr>
        <w:spacing w:line="400" w:lineRule="exact"/>
        <w:ind w:firstLine="482"/>
        <w:jc w:val="center"/>
        <w:rPr>
          <w:rFonts w:ascii="宋体" w:hAnsi="宋体"/>
          <w:b/>
          <w:bCs/>
          <w:spacing w:val="-6"/>
          <w:sz w:val="28"/>
          <w:szCs w:val="28"/>
        </w:rPr>
      </w:pPr>
      <w:r>
        <w:rPr>
          <w:rFonts w:hint="eastAsia" w:ascii="宋体" w:hAnsi="宋体" w:cs="Arial"/>
          <w:b/>
          <w:bCs/>
          <w:sz w:val="28"/>
          <w:szCs w:val="28"/>
        </w:rPr>
        <w:t>安全生产合同</w:t>
      </w:r>
    </w:p>
    <w:p w14:paraId="781CF5B0">
      <w:pPr>
        <w:spacing w:line="440" w:lineRule="exact"/>
        <w:ind w:firstLine="456"/>
        <w:rPr>
          <w:rFonts w:ascii="宋体" w:hAnsi="宋体"/>
          <w:spacing w:val="-6"/>
        </w:rPr>
      </w:pPr>
      <w:r>
        <w:rPr>
          <w:rFonts w:hint="eastAsia" w:ascii="宋体" w:hAnsi="宋体"/>
          <w:spacing w:val="-6"/>
        </w:rPr>
        <w:t>为在</w:t>
      </w:r>
      <w:r>
        <w:rPr>
          <w:rFonts w:hint="eastAsia" w:ascii="宋体" w:hAnsi="宋体" w:cs="宋体"/>
          <w:b/>
          <w:bCs/>
          <w:sz w:val="21"/>
          <w:szCs w:val="21"/>
          <w:highlight w:val="yellow"/>
          <w:u w:val="single"/>
          <w:lang w:val="en-US" w:eastAsia="zh-CN"/>
        </w:rPr>
        <w:t>西站大道二期给水工程海星电子厂区段顶管专业分包项目</w:t>
      </w:r>
      <w:r>
        <w:rPr>
          <w:rFonts w:hint="eastAsia" w:ascii="宋体" w:hAnsi="宋体"/>
          <w:b/>
          <w:bCs/>
          <w:spacing w:val="-4"/>
        </w:rPr>
        <w:t>工程</w:t>
      </w:r>
      <w:r>
        <w:rPr>
          <w:rFonts w:hint="eastAsia" w:ascii="宋体" w:hAnsi="宋体"/>
          <w:spacing w:val="-6"/>
        </w:rPr>
        <w:t>合同的实施过程中创造安全高效的施工环境，切实搞好本项目的安全管理工作，本项目甲方</w:t>
      </w:r>
      <w:r>
        <w:rPr>
          <w:rFonts w:hint="eastAsia"/>
          <w:b/>
          <w:bCs/>
        </w:rPr>
        <w:t>南通市通州区水务工程有限公司</w:t>
      </w:r>
      <w:r>
        <w:rPr>
          <w:rFonts w:hint="eastAsia" w:ascii="宋体" w:hAnsi="宋体"/>
          <w:spacing w:val="-6"/>
        </w:rPr>
        <w:t>（以下简称“甲方”）与乙方（以下简称“乙方”）特此签订安全生产合同：</w:t>
      </w:r>
    </w:p>
    <w:p w14:paraId="6FA429DD">
      <w:pPr>
        <w:spacing w:line="440" w:lineRule="exact"/>
        <w:rPr>
          <w:rFonts w:ascii="宋体" w:hAnsi="宋体"/>
          <w:spacing w:val="-6"/>
        </w:rPr>
      </w:pPr>
      <w:r>
        <w:rPr>
          <w:rFonts w:hint="eastAsia" w:ascii="宋体" w:hAnsi="宋体"/>
          <w:spacing w:val="-6"/>
        </w:rPr>
        <w:t>一、甲方职责</w:t>
      </w:r>
    </w:p>
    <w:p w14:paraId="3601E0B1">
      <w:pPr>
        <w:spacing w:line="440" w:lineRule="exact"/>
        <w:rPr>
          <w:rFonts w:ascii="宋体" w:hAnsi="宋体"/>
          <w:spacing w:val="-6"/>
        </w:rPr>
      </w:pPr>
      <w:r>
        <w:rPr>
          <w:rFonts w:hint="eastAsia" w:ascii="宋体" w:hAnsi="宋体"/>
          <w:spacing w:val="-6"/>
        </w:rPr>
        <w:t>1．严格遵守国家有关安全生产的法律法规、认真执行工程承发包合同中的有关安全要求。</w:t>
      </w:r>
    </w:p>
    <w:p w14:paraId="27B508BA">
      <w:pPr>
        <w:spacing w:line="440" w:lineRule="exact"/>
        <w:rPr>
          <w:rFonts w:ascii="宋体" w:hAnsi="宋体"/>
          <w:spacing w:val="-6"/>
        </w:rPr>
      </w:pPr>
      <w:r>
        <w:rPr>
          <w:rFonts w:hint="eastAsia" w:ascii="宋体" w:hAnsi="宋体"/>
          <w:spacing w:val="-6"/>
        </w:rPr>
        <w:t>2．按照“安全第一、预防为主”和坚持“管生产必须管安全”的原则进行安全生产管理，做到生产与安全工作同时计划、布置、检查、总结和评比。</w:t>
      </w:r>
    </w:p>
    <w:p w14:paraId="742ADE42">
      <w:pPr>
        <w:spacing w:line="440" w:lineRule="exact"/>
        <w:rPr>
          <w:rFonts w:ascii="宋体" w:hAnsi="宋体"/>
          <w:spacing w:val="-6"/>
        </w:rPr>
      </w:pPr>
      <w:r>
        <w:rPr>
          <w:rFonts w:hint="eastAsia" w:ascii="宋体" w:hAnsi="宋体"/>
          <w:spacing w:val="-6"/>
        </w:rPr>
        <w:t>3．重要的安全设施必须坚持与主体工程“三同时”的原则，即：同时设计、审批，同时施工，同时验收，投入使用。</w:t>
      </w:r>
    </w:p>
    <w:p w14:paraId="1B2B1982">
      <w:pPr>
        <w:spacing w:line="440" w:lineRule="exact"/>
        <w:rPr>
          <w:rFonts w:ascii="宋体" w:hAnsi="宋体"/>
          <w:spacing w:val="-6"/>
        </w:rPr>
      </w:pPr>
      <w:r>
        <w:rPr>
          <w:rFonts w:hint="eastAsia" w:ascii="宋体" w:hAnsi="宋体"/>
          <w:spacing w:val="-6"/>
        </w:rPr>
        <w:t>4．定期召开安全生产调度会，及时传达中央及地方有关安全生产的精神。</w:t>
      </w:r>
    </w:p>
    <w:p w14:paraId="0812811B">
      <w:pPr>
        <w:spacing w:line="440" w:lineRule="exact"/>
        <w:rPr>
          <w:rFonts w:ascii="宋体" w:hAnsi="宋体"/>
          <w:spacing w:val="-6"/>
        </w:rPr>
      </w:pPr>
      <w:r>
        <w:rPr>
          <w:rFonts w:hint="eastAsia" w:ascii="宋体" w:hAnsi="宋体"/>
          <w:spacing w:val="-6"/>
        </w:rPr>
        <w:t>5．组织对乙方施工现场安全生产检查，监督乙方并及时处理发现的各项隐患。</w:t>
      </w:r>
    </w:p>
    <w:p w14:paraId="1FBA1B87">
      <w:pPr>
        <w:spacing w:line="440" w:lineRule="exact"/>
        <w:rPr>
          <w:rFonts w:ascii="宋体" w:hAnsi="宋体"/>
          <w:spacing w:val="-6"/>
        </w:rPr>
      </w:pPr>
      <w:r>
        <w:rPr>
          <w:rFonts w:hint="eastAsia" w:ascii="宋体" w:hAnsi="宋体"/>
          <w:spacing w:val="-6"/>
        </w:rPr>
        <w:t>二、乙方职责</w:t>
      </w:r>
    </w:p>
    <w:p w14:paraId="1CFD7153">
      <w:pPr>
        <w:spacing w:line="440" w:lineRule="exact"/>
        <w:rPr>
          <w:rFonts w:ascii="宋体" w:hAnsi="宋体"/>
          <w:spacing w:val="-6"/>
        </w:rPr>
      </w:pPr>
      <w:r>
        <w:rPr>
          <w:rFonts w:hint="eastAsia" w:ascii="宋体" w:hAnsi="宋体"/>
          <w:spacing w:val="-6"/>
        </w:rPr>
        <w:t>1．严格遵守国家有关安全生产的法律法规和有关安全生产的规定，认真执行工程承发包合同中的有关安全要求。</w:t>
      </w:r>
    </w:p>
    <w:p w14:paraId="45A82F66">
      <w:pPr>
        <w:spacing w:line="440" w:lineRule="exact"/>
        <w:rPr>
          <w:rFonts w:ascii="宋体" w:hAnsi="宋体"/>
          <w:spacing w:val="-6"/>
        </w:rPr>
      </w:pPr>
      <w:r>
        <w:rPr>
          <w:rFonts w:hint="eastAsia" w:ascii="宋体" w:hAnsi="宋体"/>
          <w:spacing w:val="-6"/>
        </w:rPr>
        <w:t>2．坚持“安全第一、预防为主” 和坚持“管生产必须管安全”的原则，加强安全生产宣传教育，增强安全员安全生产意识，建立健全各项安全生产的管理机构和安全生产管理制度，配备专职及兼职安全检查人员，有组织有领导地开展安全生产产活动。各级领导、工程技术人员、生产管理人员和具体操作人员，必须熟悉和遵守本条款的各项规定，做到生产与安全工作同时计划、布置、检查、总结和评比。</w:t>
      </w:r>
    </w:p>
    <w:p w14:paraId="2FCF5485">
      <w:pPr>
        <w:spacing w:line="440" w:lineRule="exact"/>
        <w:rPr>
          <w:rFonts w:ascii="宋体" w:hAnsi="宋体"/>
          <w:spacing w:val="-6"/>
        </w:rPr>
      </w:pPr>
      <w:r>
        <w:rPr>
          <w:rFonts w:hint="eastAsia" w:ascii="宋体" w:hAnsi="宋体"/>
          <w:spacing w:val="-6"/>
        </w:rPr>
        <w:t>3．建立健全安全生产责任制。从派往项目实施的项目经理到生产工人（包括临时雇请的民工）的安全生产管理系统必须做到纵向到底，一环不漏；各职能部门、人员的安全生产责任制做到横向到边，人人有责。项目经理是安全生产的第一责任人。现场设置的安全机构，应按施工人员的1%-3%配备安全员（至少一人）专职负责所有员工的安全和治安保卫工作及预防事故的发生。安全机构人员，有权按有关规定发布指令，并采取保护性措施防止事故发生。</w:t>
      </w:r>
    </w:p>
    <w:p w14:paraId="7A56724D">
      <w:pPr>
        <w:spacing w:line="440" w:lineRule="exact"/>
        <w:rPr>
          <w:rFonts w:ascii="宋体" w:hAnsi="宋体"/>
          <w:spacing w:val="-6"/>
        </w:rPr>
      </w:pPr>
      <w:r>
        <w:rPr>
          <w:rFonts w:hint="eastAsia" w:ascii="宋体" w:hAnsi="宋体"/>
          <w:spacing w:val="-6"/>
        </w:rPr>
        <w:t>4．乙方在任何时候都应采取各种合理的预防措施，防止其员工发生任何违法、违禁、暴力或妨碍治安的行为。</w:t>
      </w:r>
    </w:p>
    <w:p w14:paraId="0421D5CD">
      <w:pPr>
        <w:spacing w:line="440" w:lineRule="exact"/>
        <w:rPr>
          <w:rFonts w:ascii="宋体" w:hAnsi="宋体"/>
          <w:spacing w:val="-6"/>
        </w:rPr>
      </w:pPr>
      <w:r>
        <w:rPr>
          <w:rFonts w:hint="eastAsia" w:ascii="宋体" w:hAnsi="宋体"/>
          <w:spacing w:val="-6"/>
        </w:rPr>
        <w:t>5．乙方必须具有劳动安全管理部门颁发的安全生产证书，参加施工的人员，必须接受安全技术教育，熟知和遵守本工种的各项安全技术操作规程，定期进行安全技术考核，合格者方准上岗操作。对于从事电气、起重、建筑凳高架设作业、锅炉、压力容器、焊接、机动车船驾驶、爆破、潜水、瓦斯检验等特殊工种的人员，经过专业培训，获得《安全操作合格证》后，方准持证上岗。施工现场如出现特种作业无证操作现象时，项目经理必须承担管理责任。</w:t>
      </w:r>
    </w:p>
    <w:p w14:paraId="2FA60BB0">
      <w:pPr>
        <w:spacing w:line="440" w:lineRule="exact"/>
        <w:rPr>
          <w:rFonts w:ascii="宋体" w:hAnsi="宋体"/>
          <w:spacing w:val="-6"/>
        </w:rPr>
      </w:pPr>
      <w:r>
        <w:rPr>
          <w:rFonts w:hint="eastAsia" w:ascii="宋体" w:hAnsi="宋体"/>
          <w:spacing w:val="-6"/>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29195E60">
      <w:pPr>
        <w:spacing w:line="440" w:lineRule="exact"/>
        <w:rPr>
          <w:rFonts w:ascii="宋体" w:hAnsi="宋体"/>
          <w:spacing w:val="-6"/>
        </w:rPr>
      </w:pPr>
      <w:r>
        <w:rPr>
          <w:rFonts w:hint="eastAsia" w:ascii="宋体" w:hAnsi="宋体"/>
          <w:spacing w:val="-6"/>
        </w:rPr>
        <w:t>7．操作人员上岗，必须按规定穿戴防护用品。施工负责人和安全检查员应随时检查劳动防护用品的穿戴情况，不按规定穿戴防护用品的人员不得上岗。</w:t>
      </w:r>
    </w:p>
    <w:p w14:paraId="7B07672E">
      <w:pPr>
        <w:spacing w:line="440" w:lineRule="exact"/>
        <w:rPr>
          <w:rFonts w:ascii="宋体" w:hAnsi="宋体"/>
          <w:spacing w:val="-6"/>
        </w:rPr>
      </w:pPr>
      <w:r>
        <w:rPr>
          <w:rFonts w:hint="eastAsia" w:ascii="宋体" w:hAnsi="宋体"/>
          <w:spacing w:val="-6"/>
        </w:rPr>
        <w:t>8．所有施工机具设备和高空作业的设备均应定期检查，并有安全员的签字记录，保证其经常处于完好状态；不合格的机具、设备和劳动保护用品严禁使用。</w:t>
      </w:r>
    </w:p>
    <w:p w14:paraId="62A545A8">
      <w:pPr>
        <w:spacing w:line="440" w:lineRule="exact"/>
        <w:rPr>
          <w:rFonts w:ascii="宋体" w:hAnsi="宋体"/>
          <w:spacing w:val="-6"/>
        </w:rPr>
      </w:pPr>
      <w:r>
        <w:rPr>
          <w:rFonts w:hint="eastAsia" w:ascii="宋体" w:hAnsi="宋体"/>
          <w:spacing w:val="-6"/>
        </w:rPr>
        <w:t>9．施工中采用新技术、新工艺、新设备、新材料时，必须制定相应的安全技术措施，施工现场必须具有相关的安全标志牌。</w:t>
      </w:r>
    </w:p>
    <w:p w14:paraId="6FBA2C0A">
      <w:pPr>
        <w:spacing w:line="440" w:lineRule="exact"/>
        <w:rPr>
          <w:rFonts w:ascii="宋体" w:hAnsi="宋体"/>
          <w:spacing w:val="-6"/>
        </w:rPr>
      </w:pPr>
      <w:r>
        <w:rPr>
          <w:rFonts w:hint="eastAsia" w:ascii="宋体" w:hAnsi="宋体"/>
          <w:spacing w:val="-6"/>
        </w:rPr>
        <w:t>10．乙方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14:paraId="2396EF67">
      <w:pPr>
        <w:spacing w:line="440" w:lineRule="exact"/>
        <w:rPr>
          <w:rFonts w:ascii="宋体" w:hAnsi="宋体"/>
          <w:spacing w:val="-6"/>
        </w:rPr>
      </w:pPr>
      <w:r>
        <w:rPr>
          <w:rFonts w:hint="eastAsia" w:ascii="宋体" w:hAnsi="宋体"/>
          <w:spacing w:val="-6"/>
        </w:rPr>
        <w:t>三、违约责任</w:t>
      </w:r>
    </w:p>
    <w:p w14:paraId="5AED946A">
      <w:pPr>
        <w:spacing w:line="440" w:lineRule="exact"/>
        <w:ind w:firstLine="456"/>
        <w:rPr>
          <w:rFonts w:ascii="宋体" w:hAnsi="宋体"/>
          <w:spacing w:val="-6"/>
        </w:rPr>
      </w:pPr>
      <w:r>
        <w:rPr>
          <w:rFonts w:hint="eastAsia" w:ascii="宋体" w:hAnsi="宋体"/>
          <w:spacing w:val="-6"/>
        </w:rPr>
        <w:t>如因甲方或乙方违约造成安全事故，将依法追究责任。乙方原因造成任何安全事故的，安全保证金将被全部扣罚，因此产生的各项损失均由乙方承担。</w:t>
      </w:r>
    </w:p>
    <w:p w14:paraId="391914FD">
      <w:pPr>
        <w:spacing w:line="440" w:lineRule="exact"/>
        <w:ind w:firstLine="456"/>
        <w:rPr>
          <w:rFonts w:ascii="宋体" w:hAnsi="宋体"/>
          <w:spacing w:val="-6"/>
        </w:rPr>
      </w:pPr>
      <w:r>
        <w:rPr>
          <w:rFonts w:hint="eastAsia" w:ascii="宋体" w:hAnsi="宋体"/>
          <w:spacing w:val="-6"/>
        </w:rPr>
        <w:t>本合同正本一式八份，合同双方各执四份。由双方法定代表人或其授权的代理人签署与加盖公章后生效，全部工程竣工验收后失效。</w:t>
      </w:r>
    </w:p>
    <w:p w14:paraId="51EE2D5C">
      <w:pPr>
        <w:spacing w:line="440" w:lineRule="exact"/>
        <w:rPr>
          <w:rFonts w:ascii="宋体" w:hAnsi="宋体"/>
          <w:spacing w:val="-6"/>
        </w:rPr>
      </w:pPr>
    </w:p>
    <w:p w14:paraId="66D85560">
      <w:pPr>
        <w:spacing w:line="440" w:lineRule="exact"/>
        <w:rPr>
          <w:rFonts w:ascii="宋体" w:hAnsi="宋体"/>
          <w:spacing w:val="-6"/>
          <w:u w:val="single"/>
        </w:rPr>
      </w:pPr>
      <w:r>
        <w:rPr>
          <w:rFonts w:hint="eastAsia" w:ascii="宋体" w:hAnsi="宋体"/>
          <w:spacing w:val="-6"/>
        </w:rPr>
        <w:t>甲方：</w:t>
      </w:r>
      <w:r>
        <w:rPr>
          <w:rFonts w:hint="eastAsia" w:ascii="宋体" w:hAnsi="宋体"/>
          <w:spacing w:val="-6"/>
          <w:u w:val="single"/>
        </w:rPr>
        <w:t xml:space="preserve">            （盖章）</w:t>
      </w:r>
      <w:r>
        <w:rPr>
          <w:rFonts w:hint="eastAsia" w:ascii="宋体" w:hAnsi="宋体"/>
          <w:spacing w:val="-6"/>
        </w:rPr>
        <w:t xml:space="preserve">                   乙方：</w:t>
      </w:r>
      <w:r>
        <w:rPr>
          <w:rFonts w:hint="eastAsia" w:ascii="宋体" w:hAnsi="宋体"/>
          <w:spacing w:val="-6"/>
          <w:u w:val="single"/>
        </w:rPr>
        <w:t xml:space="preserve">            （盖章）</w:t>
      </w:r>
    </w:p>
    <w:p w14:paraId="44A7A19C">
      <w:pPr>
        <w:spacing w:line="440" w:lineRule="exact"/>
        <w:rPr>
          <w:rFonts w:ascii="宋体" w:hAnsi="宋体"/>
          <w:spacing w:val="-6"/>
        </w:rPr>
      </w:pPr>
      <w:r>
        <w:rPr>
          <w:rFonts w:hint="eastAsia" w:ascii="宋体" w:hAnsi="宋体"/>
          <w:spacing w:val="-6"/>
        </w:rPr>
        <w:t>法定代表人                                   法定代表人</w:t>
      </w:r>
    </w:p>
    <w:p w14:paraId="3CDFDA98">
      <w:pPr>
        <w:spacing w:line="440" w:lineRule="exact"/>
        <w:rPr>
          <w:rFonts w:ascii="宋体" w:hAnsi="宋体"/>
          <w:spacing w:val="-6"/>
        </w:rPr>
      </w:pPr>
      <w:r>
        <w:rPr>
          <w:rFonts w:hint="eastAsia" w:ascii="宋体" w:hAnsi="宋体"/>
          <w:spacing w:val="-6"/>
        </w:rPr>
        <w:t>或其授权代理人：</w:t>
      </w:r>
      <w:r>
        <w:rPr>
          <w:rFonts w:hint="eastAsia" w:ascii="宋体" w:hAnsi="宋体"/>
          <w:spacing w:val="-6"/>
          <w:u w:val="single"/>
        </w:rPr>
        <w:t xml:space="preserve">     （签字）</w:t>
      </w:r>
      <w:r>
        <w:rPr>
          <w:rFonts w:hint="eastAsia" w:ascii="宋体" w:hAnsi="宋体"/>
          <w:spacing w:val="-6"/>
        </w:rPr>
        <w:t xml:space="preserve">               或其授权代理人：</w:t>
      </w:r>
      <w:r>
        <w:rPr>
          <w:rFonts w:hint="eastAsia" w:ascii="宋体" w:hAnsi="宋体"/>
          <w:spacing w:val="-6"/>
          <w:u w:val="single"/>
        </w:rPr>
        <w:t xml:space="preserve">     （签字）</w:t>
      </w:r>
    </w:p>
    <w:p w14:paraId="79E1FD5E">
      <w:pPr>
        <w:spacing w:line="440" w:lineRule="exact"/>
        <w:ind w:firstLine="2508"/>
        <w:rPr>
          <w:rFonts w:ascii="宋体" w:hAnsi="宋体"/>
          <w:spacing w:val="-5"/>
        </w:rPr>
      </w:pPr>
    </w:p>
    <w:p w14:paraId="35781FEC">
      <w:pPr>
        <w:spacing w:line="520" w:lineRule="exact"/>
        <w:rPr>
          <w:rFonts w:ascii="宋体" w:hAnsi="宋体"/>
          <w:b/>
          <w:bCs/>
          <w:spacing w:val="-6"/>
        </w:rPr>
      </w:pPr>
    </w:p>
    <w:p w14:paraId="3C3265BE">
      <w:pPr>
        <w:spacing w:line="520" w:lineRule="exact"/>
        <w:rPr>
          <w:rFonts w:ascii="宋体" w:hAnsi="宋体"/>
          <w:b/>
          <w:bCs/>
          <w:spacing w:val="-6"/>
          <w:sz w:val="24"/>
          <w:szCs w:val="24"/>
        </w:rPr>
      </w:pPr>
    </w:p>
    <w:p w14:paraId="21A18D4A">
      <w:pPr>
        <w:spacing w:line="520" w:lineRule="exact"/>
        <w:rPr>
          <w:rFonts w:ascii="宋体" w:hAnsi="宋体"/>
          <w:b/>
          <w:bCs/>
          <w:spacing w:val="-6"/>
          <w:sz w:val="24"/>
          <w:szCs w:val="24"/>
        </w:rPr>
      </w:pPr>
    </w:p>
    <w:p w14:paraId="1357DB01">
      <w:pPr>
        <w:spacing w:line="520" w:lineRule="exact"/>
        <w:rPr>
          <w:rFonts w:ascii="宋体" w:hAnsi="宋体"/>
          <w:b/>
          <w:bCs/>
          <w:spacing w:val="-6"/>
          <w:sz w:val="24"/>
          <w:szCs w:val="24"/>
        </w:rPr>
      </w:pPr>
    </w:p>
    <w:p w14:paraId="459D5E78">
      <w:pPr>
        <w:spacing w:line="520" w:lineRule="exact"/>
        <w:rPr>
          <w:rFonts w:ascii="宋体" w:hAnsi="宋体"/>
          <w:b/>
          <w:bCs/>
          <w:spacing w:val="-6"/>
          <w:sz w:val="24"/>
          <w:szCs w:val="24"/>
        </w:rPr>
      </w:pPr>
    </w:p>
    <w:p w14:paraId="5FC59A10">
      <w:pPr>
        <w:spacing w:line="520" w:lineRule="exact"/>
        <w:rPr>
          <w:rFonts w:ascii="宋体" w:hAnsi="宋体"/>
          <w:b/>
          <w:bCs/>
          <w:spacing w:val="-6"/>
          <w:sz w:val="24"/>
          <w:szCs w:val="24"/>
        </w:rPr>
      </w:pPr>
    </w:p>
    <w:p w14:paraId="125F07E3">
      <w:pPr>
        <w:spacing w:line="520" w:lineRule="exact"/>
        <w:jc w:val="center"/>
        <w:rPr>
          <w:rFonts w:ascii="宋体" w:hAnsi="宋体"/>
          <w:b/>
          <w:bCs/>
          <w:spacing w:val="-6"/>
          <w:sz w:val="28"/>
          <w:szCs w:val="28"/>
        </w:rPr>
      </w:pPr>
    </w:p>
    <w:p w14:paraId="3B5CD8F9">
      <w:pPr>
        <w:spacing w:line="520" w:lineRule="exact"/>
        <w:jc w:val="center"/>
        <w:rPr>
          <w:rFonts w:hint="eastAsia" w:ascii="宋体" w:hAnsi="宋体"/>
          <w:b/>
          <w:bCs/>
          <w:spacing w:val="-6"/>
          <w:sz w:val="28"/>
          <w:szCs w:val="28"/>
        </w:rPr>
      </w:pPr>
    </w:p>
    <w:p w14:paraId="0BF1A806">
      <w:pPr>
        <w:spacing w:line="520" w:lineRule="exact"/>
        <w:jc w:val="center"/>
        <w:rPr>
          <w:rFonts w:ascii="宋体" w:hAnsi="宋体"/>
          <w:b/>
          <w:bCs/>
          <w:spacing w:val="-6"/>
          <w:sz w:val="28"/>
          <w:szCs w:val="28"/>
        </w:rPr>
      </w:pPr>
      <w:r>
        <w:rPr>
          <w:rFonts w:hint="eastAsia" w:ascii="宋体" w:hAnsi="宋体"/>
          <w:b/>
          <w:bCs/>
          <w:spacing w:val="-6"/>
          <w:sz w:val="28"/>
          <w:szCs w:val="28"/>
        </w:rPr>
        <w:t>廉 政 协 议</w:t>
      </w:r>
    </w:p>
    <w:p w14:paraId="5432AAAE">
      <w:pPr>
        <w:spacing w:line="380" w:lineRule="exact"/>
        <w:rPr>
          <w:rFonts w:ascii="宋体" w:hAnsi="宋体"/>
          <w:spacing w:val="-6"/>
          <w:u w:val="single"/>
        </w:rPr>
      </w:pPr>
      <w:r>
        <w:rPr>
          <w:rFonts w:hint="eastAsia" w:ascii="宋体" w:hAnsi="宋体"/>
          <w:spacing w:val="-6"/>
        </w:rPr>
        <w:t xml:space="preserve">  甲方： </w:t>
      </w:r>
    </w:p>
    <w:p w14:paraId="04867E24">
      <w:pPr>
        <w:spacing w:line="380" w:lineRule="exact"/>
        <w:rPr>
          <w:rFonts w:ascii="宋体" w:hAnsi="宋体"/>
          <w:spacing w:val="-6"/>
        </w:rPr>
      </w:pPr>
      <w:r>
        <w:rPr>
          <w:rFonts w:hint="eastAsia" w:ascii="宋体" w:hAnsi="宋体"/>
          <w:spacing w:val="-6"/>
        </w:rPr>
        <w:t>立协议单位:</w:t>
      </w:r>
    </w:p>
    <w:p w14:paraId="3FC2C12A">
      <w:pPr>
        <w:spacing w:line="380" w:lineRule="exact"/>
        <w:rPr>
          <w:rFonts w:ascii="宋体" w:hAnsi="宋体"/>
          <w:spacing w:val="-6"/>
          <w:u w:val="single"/>
        </w:rPr>
      </w:pPr>
      <w:r>
        <w:rPr>
          <w:rFonts w:hint="eastAsia" w:ascii="宋体" w:hAnsi="宋体"/>
          <w:spacing w:val="-6"/>
        </w:rPr>
        <w:t xml:space="preserve">  乙方：</w:t>
      </w:r>
    </w:p>
    <w:p w14:paraId="41B7940F">
      <w:pPr>
        <w:spacing w:line="440" w:lineRule="exact"/>
        <w:ind w:firstLine="456"/>
        <w:rPr>
          <w:rFonts w:ascii="宋体" w:hAnsi="宋体"/>
          <w:spacing w:val="-6"/>
        </w:rPr>
      </w:pPr>
      <w:r>
        <w:rPr>
          <w:rFonts w:hint="eastAsia" w:ascii="宋体" w:hAnsi="宋体"/>
          <w:spacing w:val="-6"/>
        </w:rPr>
        <w:t>为了在工程建设中保持廉洁自律的风气，防止各种不正当行为的发生，根据国家和省、市有关建设工程承发包和廉政建设的各项规定，结合工程建设的特点，特订立本协议如下：</w:t>
      </w:r>
    </w:p>
    <w:p w14:paraId="1D55682B">
      <w:pPr>
        <w:spacing w:line="440" w:lineRule="exact"/>
        <w:ind w:firstLine="570"/>
        <w:rPr>
          <w:rFonts w:ascii="宋体" w:hAnsi="宋体"/>
          <w:spacing w:val="-6"/>
        </w:rPr>
      </w:pPr>
      <w:r>
        <w:rPr>
          <w:rFonts w:hint="eastAsia" w:ascii="宋体" w:hAnsi="宋体"/>
          <w:spacing w:val="-6"/>
        </w:rPr>
        <w:t>一、甲、乙双方应当自觉遵守国家、省、市关于建设工程承发包工作规则以及有关廉政建设的各项规定。</w:t>
      </w:r>
    </w:p>
    <w:p w14:paraId="1E30F0CD">
      <w:pPr>
        <w:spacing w:line="440" w:lineRule="exact"/>
        <w:ind w:firstLine="570"/>
        <w:rPr>
          <w:rFonts w:ascii="宋体" w:hAnsi="宋体"/>
          <w:spacing w:val="-6"/>
        </w:rPr>
      </w:pPr>
      <w:r>
        <w:rPr>
          <w:rFonts w:hint="eastAsia" w:ascii="宋体" w:hAnsi="宋体"/>
          <w:spacing w:val="-6"/>
        </w:rPr>
        <w:t>二、甲方及其工作人员不得以任何形式向乙方索要和收受回扣等好处费。</w:t>
      </w:r>
    </w:p>
    <w:p w14:paraId="0E5A24E5">
      <w:pPr>
        <w:spacing w:line="440" w:lineRule="exact"/>
        <w:ind w:firstLine="570"/>
        <w:rPr>
          <w:rFonts w:ascii="宋体" w:hAnsi="宋体"/>
          <w:spacing w:val="-6"/>
        </w:rPr>
      </w:pPr>
      <w:r>
        <w:rPr>
          <w:rFonts w:hint="eastAsia" w:ascii="宋体" w:hAnsi="宋体"/>
          <w:spacing w:val="-6"/>
        </w:rPr>
        <w:t>三、甲方工作人员应保持与乙方的正常业务交往，不得接受乙方的礼金、有价证券和贵重物品，不得在乙方报销任何应当由个人支付的费用。</w:t>
      </w:r>
    </w:p>
    <w:p w14:paraId="225FA2E2">
      <w:pPr>
        <w:spacing w:line="440" w:lineRule="exact"/>
        <w:ind w:firstLine="456"/>
        <w:rPr>
          <w:rFonts w:ascii="宋体" w:hAnsi="宋体"/>
          <w:spacing w:val="-6"/>
        </w:rPr>
      </w:pPr>
      <w:r>
        <w:rPr>
          <w:rFonts w:hint="eastAsia" w:ascii="宋体" w:hAnsi="宋体"/>
          <w:spacing w:val="-6"/>
        </w:rPr>
        <w:t>四、甲方工作人员不得参加可能对公开执行公务有影响的宴请和娱乐活动。</w:t>
      </w:r>
    </w:p>
    <w:p w14:paraId="72E25717">
      <w:pPr>
        <w:spacing w:line="440" w:lineRule="exact"/>
        <w:ind w:firstLine="456"/>
        <w:rPr>
          <w:rFonts w:ascii="宋体" w:hAnsi="宋体"/>
          <w:spacing w:val="-6"/>
        </w:rPr>
      </w:pPr>
      <w:r>
        <w:rPr>
          <w:rFonts w:hint="eastAsia" w:ascii="宋体" w:hAnsi="宋体"/>
          <w:spacing w:val="-6"/>
        </w:rPr>
        <w:t>五、甲方工作人员不得要求或者接受乙方为其住房装修、婚丧嫁娶、家属和子女的工作安排以及出国等提供方便。</w:t>
      </w:r>
    </w:p>
    <w:p w14:paraId="2F4C4DF3">
      <w:pPr>
        <w:spacing w:line="440" w:lineRule="exact"/>
        <w:ind w:firstLine="456"/>
        <w:rPr>
          <w:rFonts w:ascii="宋体" w:hAnsi="宋体"/>
          <w:spacing w:val="-6"/>
        </w:rPr>
      </w:pPr>
      <w:r>
        <w:rPr>
          <w:rFonts w:hint="eastAsia" w:ascii="宋体" w:hAnsi="宋体"/>
          <w:spacing w:val="-6"/>
        </w:rPr>
        <w:t>六、甲方工作人员不得向乙方介绍家属或者亲友从事与甲方工程有关的材料设备供应、工程分包等经济活动。</w:t>
      </w:r>
    </w:p>
    <w:p w14:paraId="18C4F12A">
      <w:pPr>
        <w:spacing w:line="440" w:lineRule="exact"/>
        <w:ind w:firstLine="456"/>
        <w:rPr>
          <w:rFonts w:ascii="宋体" w:hAnsi="宋体"/>
          <w:spacing w:val="-6"/>
        </w:rPr>
      </w:pPr>
      <w:r>
        <w:rPr>
          <w:rFonts w:hint="eastAsia" w:ascii="宋体" w:hAnsi="宋体"/>
          <w:spacing w:val="-6"/>
        </w:rPr>
        <w:t>七、乙方应当通过正常途径开展相关工作，不得为获取某些正当利益向甲方工作人员赠送礼金、有价证券和贵重物品等。</w:t>
      </w:r>
    </w:p>
    <w:p w14:paraId="20DC2F19">
      <w:pPr>
        <w:spacing w:line="440" w:lineRule="exact"/>
        <w:ind w:firstLine="456"/>
        <w:rPr>
          <w:rFonts w:ascii="宋体" w:hAnsi="宋体"/>
          <w:spacing w:val="-6"/>
        </w:rPr>
      </w:pPr>
      <w:r>
        <w:rPr>
          <w:rFonts w:hint="eastAsia" w:ascii="宋体" w:hAnsi="宋体"/>
          <w:spacing w:val="-6"/>
        </w:rPr>
        <w:t>八、乙方不得为谋取利益擅自与甲方工作人员就工程承包、工程费用、材料设备供应、工程量变动、工程验收、工程质量问题处理等进行私下商谈或者达成默契。</w:t>
      </w:r>
    </w:p>
    <w:p w14:paraId="54BE68DD">
      <w:pPr>
        <w:spacing w:line="440" w:lineRule="exact"/>
        <w:ind w:firstLine="456"/>
        <w:rPr>
          <w:rFonts w:ascii="宋体" w:hAnsi="宋体"/>
          <w:spacing w:val="-6"/>
        </w:rPr>
      </w:pPr>
      <w:r>
        <w:rPr>
          <w:rFonts w:hint="eastAsia" w:ascii="宋体" w:hAnsi="宋体"/>
          <w:spacing w:val="-6"/>
        </w:rPr>
        <w:t>九、乙方不得以洽谈业务、签订经济合同为借口，邀请甲方工作人员外出旅游和进入营业性娱乐场所娱乐。</w:t>
      </w:r>
    </w:p>
    <w:p w14:paraId="22D03B41">
      <w:pPr>
        <w:spacing w:line="440" w:lineRule="exact"/>
        <w:ind w:firstLine="456"/>
        <w:rPr>
          <w:rFonts w:ascii="宋体" w:hAnsi="宋体"/>
          <w:spacing w:val="-6"/>
        </w:rPr>
      </w:pPr>
      <w:r>
        <w:rPr>
          <w:rFonts w:hint="eastAsia" w:ascii="宋体" w:hAnsi="宋体"/>
          <w:spacing w:val="-6"/>
        </w:rPr>
        <w:t>十、乙方不得为甲方单位和个人购置或者提供通讯工具、家电、高档办公用品等物品。</w:t>
      </w:r>
    </w:p>
    <w:p w14:paraId="65A41DDE">
      <w:pPr>
        <w:spacing w:line="440" w:lineRule="exact"/>
        <w:ind w:firstLine="458"/>
        <w:rPr>
          <w:rFonts w:ascii="宋体" w:hAnsi="宋体"/>
          <w:spacing w:val="-6"/>
        </w:rPr>
      </w:pPr>
      <w:r>
        <w:rPr>
          <w:rFonts w:hint="eastAsia" w:ascii="宋体" w:hAnsi="宋体"/>
          <w:spacing w:val="-6"/>
        </w:rPr>
        <w:t>十一、乙方如发现甲方工作人员有违反上述协议者，应向甲方领导或者甲方上级单位举报。甲方不得找任何借口对乙方进行报复。甲方对举报属实和严格遵守廉洁协议的乙方，在同等条件下给予承接后续工程的优先邀请投标权。</w:t>
      </w:r>
    </w:p>
    <w:p w14:paraId="47E57EFF">
      <w:pPr>
        <w:spacing w:line="440" w:lineRule="exact"/>
        <w:ind w:firstLine="458"/>
        <w:rPr>
          <w:rFonts w:ascii="宋体" w:hAnsi="宋体"/>
          <w:spacing w:val="-6"/>
        </w:rPr>
      </w:pPr>
      <w:r>
        <w:rPr>
          <w:rFonts w:hint="eastAsia" w:ascii="宋体" w:hAnsi="宋体"/>
          <w:spacing w:val="-6"/>
        </w:rPr>
        <w:t>十二、甲方发现乙方有违反本协议或者采取不正当的手段行贿甲方工作人员，</w:t>
      </w:r>
      <w:r>
        <w:rPr>
          <w:rFonts w:hint="eastAsia" w:ascii="宋体" w:hAnsi="宋体"/>
          <w:spacing w:val="-6"/>
          <w:highlight w:val="yellow"/>
        </w:rPr>
        <w:t>甲方</w:t>
      </w:r>
      <w:r>
        <w:rPr>
          <w:rFonts w:hint="eastAsia" w:ascii="宋体" w:hAnsi="宋体"/>
          <w:spacing w:val="-6"/>
          <w:highlight w:val="yellow"/>
          <w:lang w:val="en-US" w:eastAsia="zh-CN"/>
        </w:rPr>
        <w:t>有权</w:t>
      </w:r>
      <w:r>
        <w:rPr>
          <w:rFonts w:hint="eastAsia" w:ascii="宋体" w:hAnsi="宋体"/>
          <w:spacing w:val="-6"/>
          <w:highlight w:val="yellow"/>
        </w:rPr>
        <w:t>根据具体情节和造成的后果</w:t>
      </w:r>
      <w:r>
        <w:rPr>
          <w:rFonts w:hint="eastAsia" w:ascii="宋体" w:hAnsi="宋体"/>
          <w:spacing w:val="-6"/>
          <w:highlight w:val="yellow"/>
          <w:lang w:val="en-US" w:eastAsia="zh-CN"/>
        </w:rPr>
        <w:t>严重程度对乙方进行</w:t>
      </w:r>
      <w:r>
        <w:rPr>
          <w:rFonts w:hint="eastAsia" w:ascii="宋体" w:hAnsi="宋体"/>
          <w:spacing w:val="-6"/>
          <w:highlight w:val="yellow"/>
        </w:rPr>
        <w:t>扣罚工程合同价款1%的廉政保证金</w:t>
      </w:r>
      <w:r>
        <w:rPr>
          <w:rFonts w:hint="eastAsia" w:ascii="宋体" w:hAnsi="宋体"/>
          <w:spacing w:val="-6"/>
          <w:highlight w:val="yellow"/>
          <w:lang w:eastAsia="zh-CN"/>
        </w:rPr>
        <w:t>、</w:t>
      </w:r>
      <w:r>
        <w:rPr>
          <w:rFonts w:hint="eastAsia" w:ascii="宋体" w:hAnsi="宋体"/>
          <w:spacing w:val="-6"/>
          <w:highlight w:val="yellow"/>
          <w:lang w:val="en-US" w:eastAsia="zh-CN"/>
        </w:rPr>
        <w:t>解除合同、尾款不予支付等处罚</w:t>
      </w:r>
      <w:r>
        <w:rPr>
          <w:rFonts w:hint="eastAsia" w:ascii="宋体" w:hAnsi="宋体"/>
          <w:spacing w:val="-6"/>
          <w:highlight w:val="yellow"/>
        </w:rPr>
        <w:t>。</w:t>
      </w:r>
      <w:r>
        <w:rPr>
          <w:rFonts w:hint="eastAsia" w:ascii="宋体" w:hAnsi="宋体"/>
          <w:spacing w:val="-6"/>
        </w:rPr>
        <w:t>由此给甲方单位造成的损失均由乙方承担，乙方用不正当手段获取的非法所得由甲方单位予以追缴。</w:t>
      </w:r>
    </w:p>
    <w:p w14:paraId="4DF82DEE">
      <w:pPr>
        <w:spacing w:line="440" w:lineRule="exact"/>
        <w:ind w:firstLine="456"/>
        <w:rPr>
          <w:rFonts w:ascii="宋体" w:hAnsi="宋体"/>
          <w:b/>
          <w:bCs/>
          <w:spacing w:val="-6"/>
          <w:u w:val="single"/>
        </w:rPr>
      </w:pPr>
      <w:r>
        <w:rPr>
          <w:rFonts w:hint="eastAsia" w:ascii="宋体" w:hAnsi="宋体"/>
          <w:spacing w:val="-6"/>
        </w:rPr>
        <w:t>十三、本廉洁协议作为</w:t>
      </w:r>
      <w:r>
        <w:rPr>
          <w:rFonts w:hint="eastAsia" w:ascii="宋体" w:hAnsi="宋体"/>
          <w:b/>
          <w:bCs/>
          <w:spacing w:val="-6"/>
          <w:u w:val="single"/>
        </w:rPr>
        <w:t>西站大道二期给水工程海星电子厂区段顶管</w:t>
      </w:r>
      <w:r>
        <w:rPr>
          <w:rFonts w:hint="eastAsia" w:ascii="宋体" w:hAnsi="宋体"/>
          <w:b/>
          <w:bCs/>
          <w:spacing w:val="-6"/>
          <w:u w:val="single"/>
          <w:lang w:val="en-US" w:eastAsia="zh-CN"/>
        </w:rPr>
        <w:t>专业分包项目</w:t>
      </w:r>
      <w:r>
        <w:rPr>
          <w:rFonts w:hint="eastAsia" w:ascii="宋体" w:hAnsi="宋体"/>
          <w:b/>
          <w:bCs/>
          <w:spacing w:val="-4"/>
        </w:rPr>
        <w:t>工程</w:t>
      </w:r>
      <w:r>
        <w:rPr>
          <w:rFonts w:hint="eastAsia" w:ascii="宋体" w:hAnsi="宋体"/>
          <w:spacing w:val="-6"/>
        </w:rPr>
        <w:t>承发包合同的附件，与工程承发包合同具有同等法律效力，经协议双方签署后立即生效。</w:t>
      </w:r>
    </w:p>
    <w:p w14:paraId="520280D8">
      <w:pPr>
        <w:spacing w:line="440" w:lineRule="exact"/>
        <w:ind w:firstLine="458"/>
        <w:rPr>
          <w:rFonts w:ascii="宋体" w:hAnsi="宋体"/>
          <w:spacing w:val="-6"/>
        </w:rPr>
      </w:pPr>
      <w:r>
        <w:rPr>
          <w:rFonts w:hint="eastAsia" w:ascii="宋体" w:hAnsi="宋体"/>
          <w:spacing w:val="-6"/>
        </w:rPr>
        <w:t>十四、本协议一式两份，甲方执一份、乙方执一份。</w:t>
      </w:r>
    </w:p>
    <w:p w14:paraId="7F931722">
      <w:pPr>
        <w:spacing w:line="440" w:lineRule="exact"/>
        <w:rPr>
          <w:rFonts w:ascii="宋体" w:hAnsi="宋体"/>
          <w:spacing w:val="-6"/>
        </w:rPr>
      </w:pPr>
    </w:p>
    <w:p w14:paraId="44228A2E">
      <w:pPr>
        <w:spacing w:line="680" w:lineRule="exact"/>
        <w:ind w:firstLine="342"/>
        <w:rPr>
          <w:rFonts w:ascii="宋体" w:hAnsi="宋体"/>
          <w:spacing w:val="-6"/>
        </w:rPr>
      </w:pPr>
      <w:r>
        <w:rPr>
          <w:rFonts w:hint="eastAsia" w:ascii="宋体" w:hAnsi="宋体"/>
          <w:spacing w:val="-6"/>
        </w:rPr>
        <w:t>甲方：（盖章）                       乙方：（盖章）</w:t>
      </w:r>
    </w:p>
    <w:p w14:paraId="57A14AFB">
      <w:pPr>
        <w:spacing w:line="680" w:lineRule="exact"/>
        <w:ind w:firstLine="342"/>
        <w:rPr>
          <w:rFonts w:ascii="宋体" w:hAnsi="宋体"/>
          <w:spacing w:val="-6"/>
        </w:rPr>
      </w:pPr>
      <w:r>
        <w:rPr>
          <w:rFonts w:hint="eastAsia" w:ascii="宋体" w:hAnsi="宋体"/>
          <w:spacing w:val="-6"/>
        </w:rPr>
        <w:t>法定代表人：                        法定代表人：</w:t>
      </w:r>
    </w:p>
    <w:p w14:paraId="5465375C">
      <w:pPr>
        <w:spacing w:line="680" w:lineRule="exact"/>
        <w:ind w:firstLine="342"/>
        <w:rPr>
          <w:rFonts w:ascii="宋体" w:hAnsi="宋体"/>
          <w:spacing w:val="-6"/>
        </w:rPr>
      </w:pPr>
      <w:r>
        <w:rPr>
          <w:rFonts w:hint="eastAsia" w:ascii="宋体" w:hAnsi="宋体"/>
          <w:spacing w:val="-6"/>
        </w:rPr>
        <w:t>委托代理人：                        委托代理人：</w:t>
      </w:r>
    </w:p>
    <w:p w14:paraId="56F556E0">
      <w:pPr>
        <w:rPr>
          <w:rFonts w:hAnsi="宋体"/>
          <w:szCs w:val="24"/>
        </w:rPr>
      </w:pPr>
    </w:p>
    <w:p w14:paraId="35B8C9F0">
      <w:pPr>
        <w:spacing w:line="320" w:lineRule="exact"/>
        <w:ind w:firstLine="482" w:firstLineChars="200"/>
        <w:rPr>
          <w:rFonts w:hAnsi="宋体"/>
          <w:color w:val="000000"/>
          <w:sz w:val="24"/>
          <w:szCs w:val="24"/>
        </w:rPr>
      </w:pPr>
      <w:r>
        <w:rPr>
          <w:rFonts w:hint="eastAsia" w:hAnsi="宋体"/>
          <w:b/>
          <w:sz w:val="24"/>
          <w:szCs w:val="24"/>
        </w:rPr>
        <w:t>签订合同时，招标人将依据招标文件、施工图纸等相关文件保留对施工合同进行修改和完善的权利。</w:t>
      </w:r>
    </w:p>
    <w:p w14:paraId="5BFA8E19">
      <w:pPr>
        <w:widowControl/>
        <w:rPr>
          <w:rFonts w:ascii="仿宋_GB2312" w:eastAsia="仿宋_GB2312"/>
          <w:sz w:val="28"/>
          <w:szCs w:val="28"/>
        </w:rPr>
      </w:pPr>
    </w:p>
    <w:p w14:paraId="1AFA5A59">
      <w:pPr>
        <w:spacing w:line="440" w:lineRule="exact"/>
        <w:rPr>
          <w:rFonts w:ascii="宋体" w:hAnsi="宋体"/>
          <w:szCs w:val="24"/>
        </w:rPr>
      </w:pPr>
    </w:p>
    <w:p w14:paraId="3C7CA0CB">
      <w:pPr>
        <w:jc w:val="left"/>
        <w:rPr>
          <w:rFonts w:hint="eastAsia" w:ascii="宋体" w:hAnsi="宋体" w:cs="仿宋_GB2312"/>
          <w:bCs/>
          <w:sz w:val="24"/>
          <w:szCs w:val="24"/>
          <w:highlight w:val="yellow"/>
        </w:rPr>
      </w:pPr>
    </w:p>
    <w:p w14:paraId="11A8BD69">
      <w:pPr>
        <w:autoSpaceDE w:val="0"/>
        <w:autoSpaceDN w:val="0"/>
        <w:adjustRightInd w:val="0"/>
        <w:ind w:firstLine="643"/>
        <w:jc w:val="center"/>
        <w:rPr>
          <w:rFonts w:hint="eastAsia" w:ascii="宋体" w:hAnsi="宋体" w:cs="宋体"/>
          <w:b/>
          <w:bCs/>
          <w:color w:val="FF0000"/>
          <w:sz w:val="32"/>
          <w:szCs w:val="32"/>
          <w:highlight w:val="yellow"/>
        </w:rPr>
      </w:pPr>
    </w:p>
    <w:p w14:paraId="02317364">
      <w:pPr>
        <w:autoSpaceDE w:val="0"/>
        <w:autoSpaceDN w:val="0"/>
        <w:adjustRightInd w:val="0"/>
        <w:ind w:firstLine="643"/>
        <w:jc w:val="center"/>
        <w:rPr>
          <w:rFonts w:hint="eastAsia" w:ascii="宋体" w:hAnsi="宋体" w:cs="宋体"/>
          <w:b/>
          <w:bCs/>
          <w:color w:val="FF0000"/>
          <w:sz w:val="32"/>
          <w:szCs w:val="32"/>
          <w:highlight w:val="yellow"/>
        </w:rPr>
      </w:pPr>
    </w:p>
    <w:p w14:paraId="0456981E">
      <w:pPr>
        <w:autoSpaceDE w:val="0"/>
        <w:autoSpaceDN w:val="0"/>
        <w:adjustRightInd w:val="0"/>
        <w:ind w:firstLine="643"/>
        <w:jc w:val="center"/>
        <w:rPr>
          <w:rFonts w:hint="eastAsia" w:ascii="宋体" w:hAnsi="宋体" w:cs="宋体"/>
          <w:b/>
          <w:bCs/>
          <w:color w:val="FF0000"/>
          <w:sz w:val="32"/>
          <w:szCs w:val="32"/>
          <w:highlight w:val="yellow"/>
        </w:rPr>
      </w:pPr>
    </w:p>
    <w:p w14:paraId="2E1C945C">
      <w:pPr>
        <w:autoSpaceDE w:val="0"/>
        <w:autoSpaceDN w:val="0"/>
        <w:adjustRightInd w:val="0"/>
        <w:ind w:firstLine="643"/>
        <w:jc w:val="center"/>
        <w:rPr>
          <w:rFonts w:hint="eastAsia" w:ascii="宋体" w:hAnsi="宋体" w:cs="宋体"/>
          <w:b/>
          <w:bCs/>
          <w:color w:val="FF0000"/>
          <w:sz w:val="32"/>
          <w:szCs w:val="32"/>
          <w:highlight w:val="yellow"/>
        </w:rPr>
      </w:pPr>
    </w:p>
    <w:p w14:paraId="73A9210A">
      <w:pPr>
        <w:autoSpaceDE w:val="0"/>
        <w:autoSpaceDN w:val="0"/>
        <w:adjustRightInd w:val="0"/>
        <w:ind w:firstLine="643"/>
        <w:jc w:val="center"/>
        <w:rPr>
          <w:rFonts w:hint="eastAsia" w:ascii="宋体" w:hAnsi="宋体" w:cs="宋体"/>
          <w:b/>
          <w:bCs/>
          <w:color w:val="FF0000"/>
          <w:sz w:val="32"/>
          <w:szCs w:val="32"/>
          <w:highlight w:val="yellow"/>
        </w:rPr>
      </w:pPr>
    </w:p>
    <w:p w14:paraId="68C22180">
      <w:pPr>
        <w:autoSpaceDE w:val="0"/>
        <w:autoSpaceDN w:val="0"/>
        <w:adjustRightInd w:val="0"/>
        <w:ind w:firstLine="643"/>
        <w:jc w:val="center"/>
        <w:rPr>
          <w:rFonts w:hint="eastAsia" w:ascii="宋体" w:hAnsi="宋体" w:cs="宋体"/>
          <w:b/>
          <w:bCs/>
          <w:color w:val="FF0000"/>
          <w:sz w:val="32"/>
          <w:szCs w:val="32"/>
          <w:highlight w:val="yellow"/>
        </w:rPr>
      </w:pPr>
    </w:p>
    <w:p w14:paraId="082D2139">
      <w:pPr>
        <w:autoSpaceDE w:val="0"/>
        <w:autoSpaceDN w:val="0"/>
        <w:adjustRightInd w:val="0"/>
        <w:ind w:firstLine="643"/>
        <w:jc w:val="center"/>
        <w:rPr>
          <w:rFonts w:hint="eastAsia" w:ascii="宋体" w:hAnsi="宋体" w:cs="宋体"/>
          <w:b/>
          <w:bCs/>
          <w:color w:val="FF0000"/>
          <w:sz w:val="32"/>
          <w:szCs w:val="32"/>
          <w:highlight w:val="yellow"/>
        </w:rPr>
      </w:pPr>
    </w:p>
    <w:p w14:paraId="12435755">
      <w:pPr>
        <w:autoSpaceDE w:val="0"/>
        <w:autoSpaceDN w:val="0"/>
        <w:adjustRightInd w:val="0"/>
        <w:ind w:firstLine="643"/>
        <w:jc w:val="center"/>
        <w:rPr>
          <w:rFonts w:hint="eastAsia" w:ascii="宋体" w:hAnsi="宋体" w:cs="宋体"/>
          <w:b/>
          <w:bCs/>
          <w:color w:val="FF0000"/>
          <w:sz w:val="32"/>
          <w:szCs w:val="32"/>
          <w:highlight w:val="yellow"/>
        </w:rPr>
      </w:pPr>
    </w:p>
    <w:p w14:paraId="11AC9449">
      <w:pPr>
        <w:autoSpaceDE w:val="0"/>
        <w:autoSpaceDN w:val="0"/>
        <w:adjustRightInd w:val="0"/>
        <w:ind w:firstLine="643"/>
        <w:jc w:val="center"/>
        <w:rPr>
          <w:rFonts w:hint="eastAsia" w:ascii="宋体" w:hAnsi="宋体" w:cs="宋体"/>
          <w:b/>
          <w:bCs/>
          <w:color w:val="FF0000"/>
          <w:sz w:val="32"/>
          <w:szCs w:val="32"/>
          <w:highlight w:val="yellow"/>
        </w:rPr>
      </w:pPr>
    </w:p>
    <w:p w14:paraId="20A0EF66">
      <w:pPr>
        <w:autoSpaceDE w:val="0"/>
        <w:autoSpaceDN w:val="0"/>
        <w:adjustRightInd w:val="0"/>
        <w:ind w:firstLine="643"/>
        <w:jc w:val="center"/>
        <w:rPr>
          <w:rFonts w:hint="eastAsia" w:ascii="宋体" w:hAnsi="宋体" w:cs="宋体"/>
          <w:b/>
          <w:bCs/>
          <w:color w:val="FF0000"/>
          <w:sz w:val="32"/>
          <w:szCs w:val="32"/>
          <w:highlight w:val="yellow"/>
        </w:rPr>
      </w:pPr>
    </w:p>
    <w:p w14:paraId="0AE56A8D">
      <w:pPr>
        <w:autoSpaceDE w:val="0"/>
        <w:autoSpaceDN w:val="0"/>
        <w:adjustRightInd w:val="0"/>
        <w:ind w:firstLine="643"/>
        <w:jc w:val="center"/>
        <w:rPr>
          <w:rFonts w:hint="eastAsia" w:ascii="宋体" w:hAnsi="宋体" w:cs="宋体"/>
          <w:b/>
          <w:bCs/>
          <w:color w:val="FF0000"/>
          <w:sz w:val="32"/>
          <w:szCs w:val="32"/>
          <w:highlight w:val="yellow"/>
        </w:rPr>
      </w:pPr>
    </w:p>
    <w:p w14:paraId="1E42D476">
      <w:pPr>
        <w:autoSpaceDE w:val="0"/>
        <w:autoSpaceDN w:val="0"/>
        <w:adjustRightInd w:val="0"/>
        <w:ind w:firstLine="643"/>
        <w:jc w:val="center"/>
        <w:rPr>
          <w:rFonts w:hint="eastAsia" w:ascii="宋体" w:hAnsi="宋体" w:cs="宋体"/>
          <w:b/>
          <w:bCs/>
          <w:color w:val="FF0000"/>
          <w:sz w:val="32"/>
          <w:szCs w:val="32"/>
          <w:highlight w:val="yellow"/>
        </w:rPr>
      </w:pPr>
    </w:p>
    <w:p w14:paraId="1EF8F5D1">
      <w:pPr>
        <w:autoSpaceDE w:val="0"/>
        <w:autoSpaceDN w:val="0"/>
        <w:adjustRightInd w:val="0"/>
        <w:ind w:firstLine="643"/>
        <w:jc w:val="center"/>
        <w:rPr>
          <w:rFonts w:hint="eastAsia" w:ascii="宋体" w:hAnsi="宋体" w:cs="宋体"/>
          <w:b/>
          <w:bCs/>
          <w:color w:val="FF0000"/>
          <w:sz w:val="32"/>
          <w:szCs w:val="32"/>
          <w:highlight w:val="yellow"/>
        </w:rPr>
      </w:pPr>
    </w:p>
    <w:p w14:paraId="5794E9AB">
      <w:pPr>
        <w:autoSpaceDE w:val="0"/>
        <w:autoSpaceDN w:val="0"/>
        <w:adjustRightInd w:val="0"/>
        <w:ind w:firstLine="643"/>
        <w:jc w:val="center"/>
        <w:rPr>
          <w:rFonts w:hint="eastAsia" w:ascii="宋体" w:hAnsi="宋体" w:cs="宋体"/>
          <w:b/>
          <w:bCs/>
          <w:color w:val="FF0000"/>
          <w:sz w:val="32"/>
          <w:szCs w:val="32"/>
          <w:highlight w:val="yellow"/>
        </w:rPr>
      </w:pPr>
    </w:p>
    <w:p w14:paraId="1FEB765C">
      <w:pPr>
        <w:autoSpaceDE w:val="0"/>
        <w:autoSpaceDN w:val="0"/>
        <w:adjustRightInd w:val="0"/>
        <w:ind w:firstLine="643"/>
        <w:jc w:val="center"/>
        <w:rPr>
          <w:rFonts w:hint="eastAsia" w:ascii="宋体" w:hAnsi="宋体" w:cs="宋体"/>
          <w:b/>
          <w:bCs/>
          <w:color w:val="FF0000"/>
          <w:sz w:val="32"/>
          <w:szCs w:val="32"/>
          <w:highlight w:val="yellow"/>
        </w:rPr>
      </w:pPr>
    </w:p>
    <w:p w14:paraId="44415A08">
      <w:pPr>
        <w:autoSpaceDE w:val="0"/>
        <w:autoSpaceDN w:val="0"/>
        <w:adjustRightInd w:val="0"/>
        <w:ind w:firstLine="643"/>
        <w:jc w:val="center"/>
        <w:rPr>
          <w:rFonts w:hint="eastAsia" w:ascii="宋体" w:hAnsi="宋体" w:cs="宋体"/>
          <w:b/>
          <w:bCs/>
          <w:color w:val="FF0000"/>
          <w:sz w:val="32"/>
          <w:szCs w:val="32"/>
          <w:highlight w:val="yellow"/>
        </w:rPr>
      </w:pPr>
    </w:p>
    <w:p w14:paraId="5630C524">
      <w:pPr>
        <w:autoSpaceDE w:val="0"/>
        <w:autoSpaceDN w:val="0"/>
        <w:adjustRightInd w:val="0"/>
        <w:ind w:firstLine="643"/>
        <w:jc w:val="center"/>
        <w:rPr>
          <w:rFonts w:hint="eastAsia" w:ascii="宋体" w:hAnsi="宋体" w:cs="宋体"/>
          <w:b/>
          <w:bCs/>
          <w:color w:val="FF0000"/>
          <w:sz w:val="32"/>
          <w:szCs w:val="32"/>
          <w:highlight w:val="yellow"/>
        </w:rPr>
      </w:pPr>
    </w:p>
    <w:p w14:paraId="12D5FAA5">
      <w:pPr>
        <w:autoSpaceDE w:val="0"/>
        <w:autoSpaceDN w:val="0"/>
        <w:adjustRightInd w:val="0"/>
        <w:ind w:firstLine="643"/>
        <w:jc w:val="center"/>
        <w:rPr>
          <w:rFonts w:hint="eastAsia" w:ascii="宋体" w:hAnsi="宋体" w:cs="宋体"/>
          <w:b/>
          <w:bCs/>
          <w:color w:val="FF0000"/>
          <w:sz w:val="32"/>
          <w:szCs w:val="32"/>
          <w:highlight w:val="yellow"/>
        </w:rPr>
      </w:pPr>
    </w:p>
    <w:p w14:paraId="52595EFC">
      <w:pPr>
        <w:autoSpaceDE w:val="0"/>
        <w:autoSpaceDN w:val="0"/>
        <w:adjustRightInd w:val="0"/>
        <w:ind w:firstLine="643"/>
        <w:jc w:val="center"/>
        <w:rPr>
          <w:rFonts w:hint="eastAsia" w:ascii="宋体" w:hAnsi="宋体" w:cs="宋体"/>
          <w:b/>
          <w:bCs/>
          <w:color w:val="FF0000"/>
          <w:sz w:val="32"/>
          <w:szCs w:val="32"/>
          <w:highlight w:val="yellow"/>
        </w:rPr>
      </w:pPr>
    </w:p>
    <w:p w14:paraId="16A7A03F">
      <w:pPr>
        <w:autoSpaceDE w:val="0"/>
        <w:autoSpaceDN w:val="0"/>
        <w:adjustRightInd w:val="0"/>
        <w:ind w:firstLine="643"/>
        <w:jc w:val="center"/>
        <w:rPr>
          <w:rFonts w:hint="eastAsia" w:ascii="宋体" w:hAnsi="宋体" w:eastAsia="宋体"/>
          <w:b/>
          <w:bCs/>
          <w:color w:val="FF0000"/>
          <w:sz w:val="32"/>
          <w:szCs w:val="32"/>
          <w:highlight w:val="yellow"/>
          <w:lang w:eastAsia="zh-CN"/>
        </w:rPr>
      </w:pPr>
      <w:r>
        <w:rPr>
          <w:rFonts w:hint="eastAsia" w:ascii="宋体" w:hAnsi="宋体" w:cs="宋体"/>
          <w:b/>
          <w:bCs/>
          <w:color w:val="FF0000"/>
          <w:sz w:val="32"/>
          <w:szCs w:val="32"/>
          <w:highlight w:val="yellow"/>
        </w:rPr>
        <w:t>安全技术</w:t>
      </w:r>
      <w:r>
        <w:rPr>
          <w:rFonts w:hint="eastAsia" w:ascii="宋体" w:hAnsi="宋体" w:cs="仿宋_GB2312"/>
          <w:b/>
          <w:bCs/>
          <w:color w:val="FF0000"/>
          <w:sz w:val="32"/>
          <w:szCs w:val="32"/>
          <w:highlight w:val="yellow"/>
        </w:rPr>
        <w:t>管理</w:t>
      </w:r>
      <w:r>
        <w:rPr>
          <w:rFonts w:hint="eastAsia" w:ascii="宋体" w:hAnsi="宋体" w:cs="仿宋_GB2312"/>
          <w:b/>
          <w:bCs/>
          <w:color w:val="FF0000"/>
          <w:sz w:val="32"/>
          <w:szCs w:val="32"/>
          <w:highlight w:val="yellow"/>
          <w:lang w:val="en-US" w:eastAsia="zh-CN"/>
        </w:rPr>
        <w:t>协议</w:t>
      </w:r>
    </w:p>
    <w:p w14:paraId="57100121">
      <w:pPr>
        <w:autoSpaceDE w:val="0"/>
        <w:autoSpaceDN w:val="0"/>
        <w:adjustRightInd w:val="0"/>
        <w:spacing w:line="240" w:lineRule="exact"/>
        <w:ind w:firstLine="640"/>
        <w:jc w:val="center"/>
        <w:rPr>
          <w:rFonts w:ascii="宋体" w:hAnsi="宋体"/>
          <w:bCs/>
          <w:sz w:val="32"/>
          <w:szCs w:val="32"/>
        </w:rPr>
      </w:pPr>
    </w:p>
    <w:p w14:paraId="0C493543">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为更好的落实安全生产责任制，确保施工现场人员的职业健康，安全及环保。经发包人、承包人双方协商，特制订“安全技术管理办法”。若发生由承包人责任所引起的各类事故、事件及违章违规、违反本管理办法的行为，发包人有权按照下列条款对承包人进行相应的处罚。</w:t>
      </w:r>
    </w:p>
    <w:p w14:paraId="220314A1">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bCs/>
          <w:sz w:val="21"/>
          <w:szCs w:val="21"/>
        </w:rPr>
        <w:t>一、事故</w:t>
      </w:r>
    </w:p>
    <w:p w14:paraId="43E1F21F">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发生人身死亡事故，扣除履约保证金，取消年度中标资格，该劳务分包单位及项目负责人未来两年内不得参与水务工程公司各类项目招标；发生重伤（含因污染、中毒及其他伤害）事故，每人次扣除30-80%履约保证金；发生轻伤事故，每人次扣除5-10%履约保证金。</w:t>
      </w:r>
    </w:p>
    <w:p w14:paraId="48C00FA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2.发生较大及以上设备事故、施工机械设备事故、火灾事故、环境污染事件，根据情节轻重，每发现一次扣除30-80%履约保证金。</w:t>
      </w:r>
    </w:p>
    <w:p w14:paraId="6A6FF636">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3.发生一般设备事故、施工机械设备事故、火灾事故，根据情节轻重，每发现一次扣除5-30%履约保证金。</w:t>
      </w:r>
    </w:p>
    <w:p w14:paraId="1D792B70">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4.发生人身、设备损坏及火灾事故，相关责任单位应承担事故造成的相应损失。</w:t>
      </w:r>
    </w:p>
    <w:p w14:paraId="3CD2DA08">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bCs/>
          <w:sz w:val="21"/>
          <w:szCs w:val="21"/>
        </w:rPr>
        <w:t>二、管理性违章</w:t>
      </w:r>
    </w:p>
    <w:p w14:paraId="4880B0C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1.未按照工程特点分析安全隐患制定预防措施的、未向相关施工人员交底签字确认，每发现一次支付违约金200元。</w:t>
      </w:r>
    </w:p>
    <w:p w14:paraId="1FDA8E9B">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2.未定期对施工现场进行安全生产监督检查，安全检查台账不全的每发现一次支付违约金200元。</w:t>
      </w:r>
    </w:p>
    <w:p w14:paraId="6EF2116F">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3.各级安全检查中现场负责人不在场的，每发现一次支付违约金500元。</w:t>
      </w:r>
    </w:p>
    <w:p w14:paraId="35D86BD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4.未进行施工人员的入场安全教育，未统一着装上岗作业，每人次支付违约金100元；新进施工现场施工人员未进行三级安全教育和考核或考核不合格的，每人次支付违约金200元。</w:t>
      </w:r>
    </w:p>
    <w:p w14:paraId="3F49C387">
      <w:pPr>
        <w:autoSpaceDE w:val="0"/>
        <w:autoSpaceDN w:val="0"/>
        <w:adjustRightInd w:val="0"/>
        <w:spacing w:line="360" w:lineRule="exact"/>
        <w:ind w:firstLine="420" w:firstLineChars="200"/>
        <w:jc w:val="left"/>
        <w:rPr>
          <w:rFonts w:hint="eastAsia" w:ascii="宋体" w:hAnsi="宋体" w:eastAsia="宋体" w:cs="宋体"/>
          <w:bCs/>
          <w:sz w:val="21"/>
          <w:szCs w:val="21"/>
          <w:highlight w:val="yellow"/>
        </w:rPr>
      </w:pPr>
      <w:r>
        <w:rPr>
          <w:rFonts w:hint="eastAsia" w:ascii="宋体" w:hAnsi="宋体" w:eastAsia="宋体" w:cs="宋体"/>
          <w:bCs/>
          <w:sz w:val="21"/>
          <w:szCs w:val="21"/>
          <w:highlight w:val="yellow"/>
        </w:rPr>
        <w:t>5.年度中标单位在合同签订后15日内及新项目开工前，必须来水务工程公司进行劳务人员备案，男性年龄不超过60周岁，女性年龄不超过50周岁，且须提供劳务人员与中标单位签订的劳务合同复印件，保险证明等相关材料。</w:t>
      </w:r>
    </w:p>
    <w:p w14:paraId="0BE1710A">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6.管理、一般作业人员进入施工现场未报发包人备案，每人次支付违约金200元，；电工、焊工、挖掘机等特种作业人员进入施工现场未报发包人备案，每人次支付违约金400元；电工、焊工、挖掘机等特种作业人员作业时未持有效期内证件的，每人次支付违约金200元，无证作业的，每人次支付违约金2000元；项目负责人、班组长在发包人的其他分包单位负责管理的，双方单位每人次支付违约金2000元。</w:t>
      </w:r>
    </w:p>
    <w:p w14:paraId="50491C88">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7.套丝机、电镐、切割机、电焊机、配电柜、压槽机等合格证不全的，每发现一次支付违约金100元。</w:t>
      </w:r>
    </w:p>
    <w:p w14:paraId="68A51A90">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8.机械、配电柜（一机一柜）、电缆等破损未定期检查、维护和保养，每发现一次支付违约金200元，临时电缆穿越道路、作业区域未采取安全措施，每发现一次支付违约金200元。</w:t>
      </w:r>
    </w:p>
    <w:p w14:paraId="1C0A8D9F">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9.现场未按施工图施工造成后果的，除承担所有费用外视情况严重程度支付违约金200-1000元。</w:t>
      </w:r>
    </w:p>
    <w:p w14:paraId="6079D63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highlight w:val="none"/>
        </w:rPr>
        <w:t>10.危险作业区域未设置警示标志，每发现一处支付违约金400元。</w:t>
      </w:r>
    </w:p>
    <w:p w14:paraId="6918630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1</w:t>
      </w:r>
      <w:r>
        <w:rPr>
          <w:rFonts w:hint="eastAsia" w:ascii="宋体" w:hAnsi="宋体" w:eastAsia="宋体" w:cs="宋体"/>
          <w:bCs/>
          <w:sz w:val="21"/>
          <w:szCs w:val="21"/>
        </w:rPr>
        <w:t>.移动脚手架下方监护人未到位，每发现一次支付违约金200元。</w:t>
      </w:r>
    </w:p>
    <w:p w14:paraId="6AB4EBE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2</w:t>
      </w:r>
      <w:r>
        <w:rPr>
          <w:rFonts w:hint="eastAsia" w:ascii="宋体" w:hAnsi="宋体" w:eastAsia="宋体" w:cs="宋体"/>
          <w:bCs/>
          <w:sz w:val="21"/>
          <w:szCs w:val="21"/>
        </w:rPr>
        <w:t>.在道路、便道等通行要求地段作业的管沟、对拢工作坑未采取警示标志和围挡的，每发现一次支付违约金400元；阀门井混凝土盖板未加盖球铸铁井盖的又未采取围护措施的，每发现一次支付违约金200元。被市民、相关部门举报、投诉、点名批评、通报的，每发现一次支付违约金1000元。</w:t>
      </w:r>
    </w:p>
    <w:p w14:paraId="43B68C9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3</w:t>
      </w:r>
      <w:r>
        <w:rPr>
          <w:rFonts w:hint="eastAsia" w:ascii="宋体" w:hAnsi="宋体" w:eastAsia="宋体" w:cs="宋体"/>
          <w:bCs/>
          <w:sz w:val="21"/>
          <w:szCs w:val="21"/>
        </w:rPr>
        <w:t>.给水管材、井盖堆放凌乱影响交通、外单位施工和市容的，每发现一次支付违约金100元；被市民、相关部门举报、投诉、点名批评、通报的，每发现一次支付违约金1000元。</w:t>
      </w:r>
    </w:p>
    <w:p w14:paraId="6C2C5A7D">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4</w:t>
      </w:r>
      <w:r>
        <w:rPr>
          <w:rFonts w:hint="eastAsia" w:ascii="宋体" w:hAnsi="宋体" w:eastAsia="宋体" w:cs="宋体"/>
          <w:bCs/>
          <w:sz w:val="21"/>
          <w:szCs w:val="21"/>
        </w:rPr>
        <w:t>.现场一旦发生事故，未按规定及时报告发包人的，每发现一次支付违约金2000元。</w:t>
      </w:r>
    </w:p>
    <w:p w14:paraId="4BCE55A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5</w:t>
      </w:r>
      <w:r>
        <w:rPr>
          <w:rFonts w:hint="eastAsia" w:ascii="宋体" w:hAnsi="宋体" w:eastAsia="宋体" w:cs="宋体"/>
          <w:bCs/>
          <w:sz w:val="21"/>
          <w:szCs w:val="21"/>
        </w:rPr>
        <w:t>.施工中故意损坏其他单位的管道、构筑物，每发现一次支付违约金200元；隐瞒不报、覆土隐蔽等被举报、投诉、点名批评、通报的，每发现一次支付违约金1000元。</w:t>
      </w:r>
    </w:p>
    <w:p w14:paraId="513BC6B4">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6</w:t>
      </w:r>
      <w:r>
        <w:rPr>
          <w:rFonts w:hint="eastAsia" w:ascii="宋体" w:hAnsi="宋体" w:eastAsia="宋体" w:cs="宋体"/>
          <w:bCs/>
          <w:sz w:val="21"/>
          <w:szCs w:val="21"/>
        </w:rPr>
        <w:t>.安全生产检查中发生安全隐患责令整改后未整改到位的，将给予双倍处罚，拒不整改的，支付违约金2000元。</w:t>
      </w:r>
    </w:p>
    <w:p w14:paraId="26CEE6B2">
      <w:pPr>
        <w:autoSpaceDE w:val="0"/>
        <w:autoSpaceDN w:val="0"/>
        <w:adjustRightInd w:val="0"/>
        <w:spacing w:line="360" w:lineRule="exact"/>
        <w:ind w:firstLine="420" w:firstLineChars="200"/>
        <w:jc w:val="left"/>
        <w:rPr>
          <w:rFonts w:hint="eastAsia" w:ascii="宋体" w:hAnsi="宋体" w:eastAsia="宋体" w:cs="宋体"/>
          <w:bCs/>
          <w:sz w:val="21"/>
          <w:szCs w:val="21"/>
          <w:highlight w:val="red"/>
        </w:rPr>
      </w:pPr>
      <w:r>
        <w:rPr>
          <w:rFonts w:hint="eastAsia" w:ascii="宋体" w:hAnsi="宋体" w:eastAsia="宋体" w:cs="宋体"/>
          <w:bCs/>
          <w:sz w:val="21"/>
          <w:szCs w:val="21"/>
          <w:highlight w:val="yellow"/>
        </w:rPr>
        <w:t>1</w:t>
      </w:r>
      <w:r>
        <w:rPr>
          <w:rFonts w:hint="eastAsia" w:ascii="宋体" w:hAnsi="宋体" w:eastAsia="宋体" w:cs="宋体"/>
          <w:bCs/>
          <w:sz w:val="21"/>
          <w:szCs w:val="21"/>
          <w:highlight w:val="yellow"/>
          <w:lang w:val="en-US" w:eastAsia="zh-CN"/>
        </w:rPr>
        <w:t>7</w:t>
      </w:r>
      <w:r>
        <w:rPr>
          <w:rFonts w:hint="eastAsia" w:ascii="宋体" w:hAnsi="宋体" w:eastAsia="宋体" w:cs="宋体"/>
          <w:bCs/>
          <w:sz w:val="21"/>
          <w:szCs w:val="21"/>
          <w:highlight w:val="yellow"/>
        </w:rPr>
        <w:t>.工程项目施工时，现场应申请领用并合理配置可视化监控球机，项目负责人及所有施工人员应做好每日考勤打卡。施工时，现场可视化监控球机未正确配置的，或施工人员打卡缺漏的，视情节严重程度处支付违约金200-1000元。移动球机和移动单兵因保管不利出现损坏或丢失，按照公司增补及维修实际价格赔偿。</w:t>
      </w:r>
    </w:p>
    <w:p w14:paraId="34BEB752">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bCs/>
          <w:sz w:val="21"/>
          <w:szCs w:val="21"/>
        </w:rPr>
        <w:t>三、装置性违章</w:t>
      </w:r>
    </w:p>
    <w:p w14:paraId="6356EB3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1.切割机、套丝机、电镐、锯缝机等机械安全装置不完善或失效，每台支付违约金200元。</w:t>
      </w:r>
    </w:p>
    <w:p w14:paraId="08B4E55F">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2.未经发包人（监理）同意，擅自拆除、变动安全、文明施工、环保设施、安全标识标牌、交通标识及其他专业单位检查井等，每发现一次支付违约金200-400元。</w:t>
      </w:r>
    </w:p>
    <w:p w14:paraId="7A4AB297">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3.未按规定正确设置防雷接地装置，每处支付违约金200元。</w:t>
      </w:r>
    </w:p>
    <w:p w14:paraId="0CB5550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4.高空作业、吊装作业、临边和孔洞作业、水上作业未设置相应作业平台、上下通道、水平安全绳、防坠装置、安全网等的安全措施，未做好孔洞盖板、临边围栏的安全措施，每处支付违约金400元。设备安装就位期间，对未可靠固定的设备未做好相应的专项安全措施，每处支付违约金100-400元。</w:t>
      </w:r>
    </w:p>
    <w:p w14:paraId="0B129C0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5.潮湿地下室、雨季施工时，有接头、破损电缆等未采取绝缘等防护措施直接穿越潮湿地坪，每处支付违约金400元。</w:t>
      </w:r>
    </w:p>
    <w:p w14:paraId="2ADA2083">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6.未落实防火、防大风、大雨、防暑降温、防雷等安全措施，控制措施不力，每项支付违约金200-400元。</w:t>
      </w:r>
    </w:p>
    <w:p w14:paraId="5B72D11A">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7.管理及作业人员佩戴的安全帽无合格证的支付违约金100元每人；管理及作业人员未佩戴安全帽，支付违约金200元每人；管理及作业人员未规范佩戴安全帽，支付违约金50元/人；切割机、磨光机、电锤作业人员未佩戴护目镜，支付违约金200元/人。管理及作业人员在作业现场穿拖鞋，支付违约金400元/人。</w:t>
      </w:r>
    </w:p>
    <w:p w14:paraId="2B7A59BB">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bCs/>
          <w:sz w:val="21"/>
          <w:szCs w:val="21"/>
        </w:rPr>
        <w:t>四、行为性违章</w:t>
      </w:r>
    </w:p>
    <w:p w14:paraId="2F0F8AB7">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1.从高处抛掷工具、材料等，每发现一次支付违约金200-400元。</w:t>
      </w:r>
    </w:p>
    <w:p w14:paraId="49360B43">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2.违反“十不吊”规定，每发现一次支付违约金200-400元。</w:t>
      </w:r>
    </w:p>
    <w:p w14:paraId="4B058C5D">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3.违反焊割作业“十不烧”规定，每发现一次支付违约金 200-400元。</w:t>
      </w:r>
    </w:p>
    <w:p w14:paraId="090F5DCC">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4.将泥浆私自排放至雨污水管道，未按规定随意倾倒建筑垃圾，对拢、拉管施工等废水随意排放至道路、农田、鱼塘的，影响其他单位施工的，每发现一次支付违约金200-2000元。</w:t>
      </w:r>
    </w:p>
    <w:p w14:paraId="70794F9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5.施工现场车辆超速、超载行使，每发现一次支付违约金 200元。</w:t>
      </w:r>
    </w:p>
    <w:p w14:paraId="1EB2059D">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6.占用城市道路从事吊装作业未设置交通警示标志灯和采取安全措施的，每发现一次支付违约金400元。</w:t>
      </w:r>
    </w:p>
    <w:p w14:paraId="34EFB794">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7.未采取保护性措施，挖掘机直接在沥青路面、人行道板行走，每发现一次支付违约金500元。</w:t>
      </w:r>
    </w:p>
    <w:p w14:paraId="7BD5546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8.未采取保护性措施，直接在沥青路面、人行道板上搅拌砂浆、混凝土，每发现一次支付违约金500元。</w:t>
      </w:r>
    </w:p>
    <w:p w14:paraId="3633D629">
      <w:pPr>
        <w:autoSpaceDE w:val="0"/>
        <w:autoSpaceDN w:val="0"/>
        <w:adjustRightInd w:val="0"/>
        <w:spacing w:line="360" w:lineRule="exact"/>
        <w:ind w:firstLine="420" w:firstLineChars="200"/>
        <w:jc w:val="left"/>
        <w:rPr>
          <w:rFonts w:hint="eastAsia" w:ascii="宋体" w:hAnsi="宋体" w:eastAsia="宋体" w:cs="宋体"/>
          <w:bCs/>
          <w:sz w:val="21"/>
          <w:szCs w:val="21"/>
          <w:highlight w:val="none"/>
        </w:rPr>
      </w:pPr>
      <w:r>
        <w:rPr>
          <w:rFonts w:hint="eastAsia" w:ascii="宋体" w:hAnsi="宋体" w:eastAsia="宋体" w:cs="宋体"/>
          <w:bCs/>
          <w:sz w:val="21"/>
          <w:szCs w:val="21"/>
        </w:rPr>
        <w:t>9.</w:t>
      </w:r>
      <w:r>
        <w:rPr>
          <w:rFonts w:hint="eastAsia" w:ascii="宋体" w:hAnsi="宋体" w:eastAsia="宋体" w:cs="宋体"/>
          <w:bCs/>
          <w:sz w:val="21"/>
          <w:szCs w:val="21"/>
          <w:highlight w:val="none"/>
        </w:rPr>
        <w:t>动火作业、有限空间、高压临电、登高作业等危险作业需提交《危险作业申请表》，经审批通过后方可施工，未提交申请表且未通过审批的每次支付违约金2000元。</w:t>
      </w:r>
    </w:p>
    <w:p w14:paraId="59FACF01">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10.焊接作业时气瓶未按规范设置的支付违约金200元。</w:t>
      </w:r>
    </w:p>
    <w:p w14:paraId="6CEA8A29">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highlight w:val="none"/>
        </w:rPr>
        <w:t>11.切割、焊接、打磨作业时，未及时清理作业区域内易燃易爆物品的，每发现一次支付违约金400元。</w:t>
      </w:r>
      <w:r>
        <w:rPr>
          <w:rFonts w:hint="eastAsia" w:ascii="宋体" w:hAnsi="宋体" w:eastAsia="宋体" w:cs="宋体"/>
          <w:bCs/>
          <w:sz w:val="21"/>
          <w:szCs w:val="21"/>
        </w:rPr>
        <w:t xml:space="preserve"> </w:t>
      </w:r>
    </w:p>
    <w:p w14:paraId="658AE3C3">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2</w:t>
      </w:r>
      <w:r>
        <w:rPr>
          <w:rFonts w:hint="eastAsia" w:ascii="宋体" w:hAnsi="宋体" w:eastAsia="宋体" w:cs="宋体"/>
          <w:bCs/>
          <w:sz w:val="21"/>
          <w:szCs w:val="21"/>
        </w:rPr>
        <w:t>.管头未封堵的每发现一次支付违约金100元。</w:t>
      </w:r>
    </w:p>
    <w:p w14:paraId="51011EEB">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五、其他</w:t>
      </w:r>
    </w:p>
    <w:p w14:paraId="7A7A0763">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1.会议无故迟到的支付违约金500元；迟到超过一个小时的支付违约金2000元。</w:t>
      </w:r>
    </w:p>
    <w:p w14:paraId="1CD293D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2.接到发包人通知后未及时进场施工、消极施工，在发包人发出施工联系单后仍继续消极怠工的，每天支付违约金500元，超过10天仍未整改的，没收其履约保证金，取消中标资格。</w:t>
      </w:r>
    </w:p>
    <w:p w14:paraId="71126DEF">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3.每日晨会及施工作业照片需及时上传至作业群内，如未及时上传的支付违约金100元。</w:t>
      </w:r>
    </w:p>
    <w:p w14:paraId="4774201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4.工程施工结束要做到及时试压，未能及时试压的支付违约金400元，试压造假的，每次支付违约金10000元。</w:t>
      </w:r>
    </w:p>
    <w:p w14:paraId="1CCAE8F2">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5.施工中发现进度偏差的，未采取有效纠偏措施使工程进度滞后的，每次支付违约金1000元。</w:t>
      </w:r>
    </w:p>
    <w:p w14:paraId="3590A567">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6.因施工单位自身原因造成工期延误，受到业主有效投诉，情况属实的每次支付违约金2000元。</w:t>
      </w:r>
    </w:p>
    <w:p w14:paraId="3BC21FAB">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7.管道冲洗敷衍了事，初次检测未合格的，支付违约金500元，二次冲洗检测未合格的支付违约金1000元，二次以上冲洗检测仍未合格的支付违约金2000元。</w:t>
      </w:r>
    </w:p>
    <w:p w14:paraId="1E6ED268">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8.试压工程合格后30天内完成工程竣工图，无需试压工程通水后20天完成工程竣工图，未能完成的支付违约金500元/天。</w:t>
      </w:r>
    </w:p>
    <w:p w14:paraId="6D7DE1D3">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9.由于承包人自身原因导致发包人工程综合验收（</w:t>
      </w:r>
      <w:r>
        <w:rPr>
          <w:rFonts w:hint="eastAsia" w:ascii="宋体" w:hAnsi="宋体" w:eastAsia="宋体" w:cs="宋体"/>
          <w:bCs/>
          <w:sz w:val="21"/>
          <w:szCs w:val="21"/>
          <w:highlight w:val="yellow"/>
        </w:rPr>
        <w:t>含工程公司内部初检</w:t>
      </w:r>
      <w:r>
        <w:rPr>
          <w:rFonts w:hint="eastAsia" w:ascii="宋体" w:hAnsi="宋体" w:eastAsia="宋体" w:cs="宋体"/>
          <w:bCs/>
          <w:sz w:val="21"/>
          <w:szCs w:val="21"/>
        </w:rPr>
        <w:t>）未能一次性合格的，视情节轻重每次支付违约金200-1000元。</w:t>
      </w:r>
    </w:p>
    <w:p w14:paraId="2F0CD6EC">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10.工程需要提供配套资料的，未能按规定时间完成的支付违约金200元/天。</w:t>
      </w:r>
    </w:p>
    <w:p w14:paraId="30E7FA2D">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11.工程施工结束后不及时退料，待工程结账单完成后退料的，一律不予接收。</w:t>
      </w:r>
    </w:p>
    <w:p w14:paraId="6A1247A0">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12.停水施工因承包人自身原因，未在核定的停水时间内恢复供水的支付违约金2000元。</w:t>
      </w:r>
    </w:p>
    <w:p w14:paraId="57FE38CA">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13.工程质保期内，由于施工质量引起的用户投诉，每次支付违约金500元。</w:t>
      </w:r>
    </w:p>
    <w:p w14:paraId="25252B7C">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14.由于施工质量原因造成接口漏水等质量安全事故的，一切费用由承包人承担，并处造成费用的50%的违约金处罚且不小于500元。</w:t>
      </w:r>
    </w:p>
    <w:p w14:paraId="3C66A1B9">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15.收到发包人工程决算审定单及工程款结算单的10个工作日内必须签字盖章确认完毕，已审批完毕的工程款结算单10个工作日内必须开具发票送达我公司。未及时完成的，每次支付违约金200元。</w:t>
      </w:r>
    </w:p>
    <w:p w14:paraId="192E7735">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16.不服从发包方项目现场负责人合理工作安排的，每发生一次支付违约金500-2000元。</w:t>
      </w:r>
    </w:p>
    <w:p w14:paraId="0C4819C1">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w:t>
      </w:r>
      <w:r>
        <w:rPr>
          <w:rFonts w:hint="eastAsia" w:ascii="宋体" w:hAnsi="宋体" w:eastAsia="宋体" w:cs="宋体"/>
          <w:bCs/>
          <w:sz w:val="21"/>
          <w:szCs w:val="21"/>
          <w:lang w:val="en-US" w:eastAsia="zh-CN"/>
        </w:rPr>
        <w:t>7</w:t>
      </w:r>
      <w:r>
        <w:rPr>
          <w:rFonts w:hint="eastAsia" w:ascii="宋体" w:hAnsi="宋体" w:eastAsia="宋体" w:cs="宋体"/>
          <w:bCs/>
          <w:sz w:val="21"/>
          <w:szCs w:val="21"/>
        </w:rPr>
        <w:t>.</w:t>
      </w:r>
      <w:r>
        <w:rPr>
          <w:rFonts w:hint="eastAsia" w:ascii="宋体" w:hAnsi="宋体" w:eastAsia="宋体" w:cs="宋体"/>
          <w:bCs/>
          <w:color w:val="auto"/>
          <w:kern w:val="2"/>
          <w:sz w:val="21"/>
          <w:szCs w:val="21"/>
          <w:highlight w:val="yellow"/>
          <w:lang w:val="en-US" w:eastAsia="zh-CN" w:bidi="ar-SA"/>
        </w:rPr>
        <w:t>因承包人自身原因与外界发生纠纷</w:t>
      </w:r>
      <w:r>
        <w:rPr>
          <w:rFonts w:hint="eastAsia" w:ascii="宋体" w:hAnsi="宋体" w:eastAsia="宋体" w:cs="宋体"/>
          <w:bCs/>
          <w:sz w:val="21"/>
          <w:szCs w:val="21"/>
        </w:rPr>
        <w:t>，</w:t>
      </w:r>
      <w:r>
        <w:rPr>
          <w:rFonts w:hint="eastAsia" w:ascii="宋体" w:hAnsi="宋体" w:eastAsia="宋体" w:cs="宋体"/>
          <w:bCs/>
          <w:sz w:val="21"/>
          <w:szCs w:val="21"/>
          <w:lang w:val="en-US" w:eastAsia="zh-CN"/>
        </w:rPr>
        <w:t>视情节严重程度，</w:t>
      </w:r>
      <w:r>
        <w:rPr>
          <w:rFonts w:hint="eastAsia" w:ascii="宋体" w:hAnsi="宋体" w:eastAsia="宋体" w:cs="宋体"/>
          <w:bCs/>
          <w:sz w:val="21"/>
          <w:szCs w:val="21"/>
        </w:rPr>
        <w:t>每发生一次支付违约金500-2000元</w:t>
      </w:r>
      <w:r>
        <w:rPr>
          <w:rFonts w:hint="eastAsia" w:ascii="宋体" w:hAnsi="宋体" w:eastAsia="宋体" w:cs="宋体"/>
          <w:bCs/>
          <w:sz w:val="21"/>
          <w:szCs w:val="21"/>
          <w:lang w:eastAsia="zh-CN"/>
        </w:rPr>
        <w:t>；</w:t>
      </w:r>
      <w:r>
        <w:rPr>
          <w:rFonts w:hint="eastAsia" w:ascii="宋体" w:hAnsi="宋体" w:eastAsia="宋体" w:cs="宋体"/>
          <w:bCs/>
          <w:color w:val="auto"/>
          <w:kern w:val="2"/>
          <w:sz w:val="21"/>
          <w:szCs w:val="21"/>
          <w:highlight w:val="yellow"/>
          <w:lang w:val="en-US" w:eastAsia="zh-CN" w:bidi="ar-SA"/>
        </w:rPr>
        <w:t>造成舆情，产生严重后果的，发包人有权扣除所有履约保证金，解除合同，且五年内列入鑫汇集团合作黑名单。</w:t>
      </w:r>
      <w:r>
        <w:rPr>
          <w:rFonts w:hint="eastAsia" w:ascii="宋体" w:hAnsi="宋体" w:eastAsia="宋体" w:cs="宋体"/>
          <w:bCs/>
          <w:sz w:val="21"/>
          <w:szCs w:val="21"/>
        </w:rPr>
        <w:t>。</w:t>
      </w:r>
    </w:p>
    <w:p w14:paraId="3D759760">
      <w:pPr>
        <w:autoSpaceDE w:val="0"/>
        <w:autoSpaceDN w:val="0"/>
        <w:adjustRightInd w:val="0"/>
        <w:spacing w:line="360" w:lineRule="exact"/>
        <w:ind w:firstLine="420" w:firstLineChars="200"/>
        <w:jc w:val="left"/>
        <w:rPr>
          <w:rFonts w:hint="eastAsia" w:ascii="宋体" w:hAnsi="宋体" w:eastAsia="宋体" w:cs="宋体"/>
          <w:bCs/>
          <w:sz w:val="21"/>
          <w:szCs w:val="21"/>
          <w:highlight w:val="yellow"/>
        </w:rPr>
      </w:pPr>
      <w:r>
        <w:rPr>
          <w:rFonts w:hint="eastAsia" w:ascii="宋体" w:hAnsi="宋体" w:eastAsia="宋体" w:cs="宋体"/>
          <w:bCs/>
          <w:sz w:val="21"/>
          <w:szCs w:val="21"/>
          <w:highlight w:val="yellow"/>
          <w:lang w:val="en-US" w:eastAsia="zh-CN"/>
        </w:rPr>
        <w:t>18</w:t>
      </w:r>
      <w:r>
        <w:rPr>
          <w:rFonts w:hint="eastAsia" w:ascii="宋体" w:hAnsi="宋体" w:eastAsia="宋体" w:cs="宋体"/>
          <w:bCs/>
          <w:sz w:val="21"/>
          <w:szCs w:val="21"/>
          <w:highlight w:val="yellow"/>
        </w:rPr>
        <w:t>.如中标单位出现拖欠农民工资等因中标单位原因而发生的农民工上访、闹事等事件的，经查实每发生一起支付违约金20000元，造成舆情的一起支付违约金50000元。如有因拖欠农民工工资需水务工程公司代为先行支付的，除向中标单位收取代付金额本金外，并向中标单位处以代付金额数额相同的违约金处罚。</w:t>
      </w:r>
    </w:p>
    <w:p w14:paraId="6D3E346F">
      <w:pPr>
        <w:autoSpaceDE w:val="0"/>
        <w:autoSpaceDN w:val="0"/>
        <w:adjustRightInd w:val="0"/>
        <w:spacing w:line="360" w:lineRule="exact"/>
        <w:ind w:firstLine="420" w:firstLineChars="200"/>
        <w:jc w:val="left"/>
        <w:rPr>
          <w:rFonts w:hint="eastAsia" w:ascii="宋体" w:hAnsi="宋体" w:eastAsia="宋体" w:cs="宋体"/>
          <w:bCs/>
          <w:color w:val="auto"/>
          <w:kern w:val="2"/>
          <w:sz w:val="21"/>
          <w:szCs w:val="21"/>
          <w:highlight w:val="yellow"/>
          <w:lang w:val="en-US" w:eastAsia="zh-CN" w:bidi="ar-SA"/>
        </w:rPr>
      </w:pPr>
      <w:r>
        <w:rPr>
          <w:rFonts w:hint="eastAsia" w:ascii="宋体" w:hAnsi="宋体" w:eastAsia="宋体" w:cs="宋体"/>
          <w:bCs/>
          <w:sz w:val="21"/>
          <w:szCs w:val="21"/>
          <w:highlight w:val="yellow"/>
          <w:lang w:val="en-US" w:eastAsia="zh-CN"/>
        </w:rPr>
        <w:t>19.</w:t>
      </w:r>
      <w:r>
        <w:rPr>
          <w:rFonts w:hint="eastAsia" w:ascii="宋体" w:hAnsi="宋体" w:eastAsia="宋体" w:cs="宋体"/>
          <w:bCs/>
          <w:color w:val="auto"/>
          <w:kern w:val="2"/>
          <w:sz w:val="21"/>
          <w:szCs w:val="21"/>
          <w:highlight w:val="yellow"/>
          <w:lang w:val="en-US" w:eastAsia="zh-CN" w:bidi="ar-SA"/>
        </w:rPr>
        <w:t>因劳务作业供应商自身原因导致出现拖欠农民工工资等造成舆情，产生严重后果的，发包人有权扣除所有履约保证金，解除合同，且五年内列入鑫汇集团合作黑名单。</w:t>
      </w:r>
    </w:p>
    <w:p w14:paraId="188A500D">
      <w:pPr>
        <w:autoSpaceDE w:val="0"/>
        <w:autoSpaceDN w:val="0"/>
        <w:adjustRightInd w:val="0"/>
        <w:spacing w:line="360" w:lineRule="exact"/>
        <w:ind w:firstLine="420" w:firstLineChars="200"/>
        <w:jc w:val="left"/>
        <w:rPr>
          <w:rFonts w:hint="eastAsia" w:ascii="宋体" w:hAnsi="宋体" w:eastAsia="宋体" w:cs="宋体"/>
          <w:bCs/>
          <w:sz w:val="21"/>
          <w:szCs w:val="21"/>
          <w:highlight w:val="yellow"/>
        </w:rPr>
      </w:pPr>
      <w:r>
        <w:rPr>
          <w:rFonts w:hint="eastAsia" w:ascii="宋体" w:hAnsi="宋体" w:eastAsia="宋体" w:cs="宋体"/>
          <w:bCs/>
          <w:sz w:val="21"/>
          <w:szCs w:val="21"/>
          <w:highlight w:val="yellow"/>
          <w:lang w:val="en-US" w:eastAsia="zh-CN"/>
        </w:rPr>
        <w:t>20</w:t>
      </w:r>
      <w:r>
        <w:rPr>
          <w:rFonts w:hint="eastAsia" w:ascii="宋体" w:hAnsi="宋体" w:eastAsia="宋体" w:cs="宋体"/>
          <w:bCs/>
          <w:sz w:val="21"/>
          <w:szCs w:val="21"/>
          <w:highlight w:val="yellow"/>
        </w:rPr>
        <w:t>.其他行为违反国家相关法律法规、行业标准规范或公司制度规定的，视情节严重程度支付违约金200-10000元。</w:t>
      </w:r>
    </w:p>
    <w:p w14:paraId="11856F8A">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六、附则</w:t>
      </w:r>
    </w:p>
    <w:p w14:paraId="587A92EF">
      <w:pPr>
        <w:autoSpaceDE w:val="0"/>
        <w:autoSpaceDN w:val="0"/>
        <w:adjustRightInd w:val="0"/>
        <w:spacing w:line="360" w:lineRule="exact"/>
        <w:ind w:firstLine="420" w:firstLineChars="200"/>
        <w:jc w:val="left"/>
        <w:rPr>
          <w:rFonts w:hint="eastAsia" w:ascii="宋体" w:hAnsi="宋体" w:eastAsia="宋体" w:cs="宋体"/>
          <w:sz w:val="21"/>
          <w:szCs w:val="21"/>
        </w:rPr>
      </w:pPr>
      <w:r>
        <w:rPr>
          <w:rFonts w:hint="eastAsia" w:ascii="宋体" w:hAnsi="宋体" w:eastAsia="宋体" w:cs="宋体"/>
          <w:bCs/>
          <w:sz w:val="21"/>
          <w:szCs w:val="21"/>
        </w:rPr>
        <w:t>1.发包人根据安全协议和本处罚标准签发《安全生产处罚通知单》，承包人在接到处罚通知单后10个工作日内将违约金上交至水务工程有限公司财务管理部，未在规定时间内上交的将在履约保证金中双倍扣除。承包人对扣款事由和数额有异议的，有权向南通市通州区水务工程公司相关分管领导或主要领导进行申辩。</w:t>
      </w:r>
    </w:p>
    <w:p w14:paraId="384F220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5.发生职业健康、安全及环保事故后，发包人、承包人双方除执行本协议规定外，还应按照国家、省、市关于事故调查处理的有关规定接受相应得处理。</w:t>
      </w:r>
    </w:p>
    <w:p w14:paraId="569DDC0D">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6.</w:t>
      </w:r>
      <w:r>
        <w:rPr>
          <w:rFonts w:hint="eastAsia" w:ascii="宋体" w:hAnsi="宋体" w:eastAsia="宋体" w:cs="宋体"/>
          <w:bCs/>
          <w:sz w:val="21"/>
          <w:szCs w:val="21"/>
          <w:highlight w:val="yellow"/>
        </w:rPr>
        <w:t>本管理办法如有修订按照最新版管理办法执行。</w:t>
      </w:r>
    </w:p>
    <w:p w14:paraId="1041F71E">
      <w:pPr>
        <w:autoSpaceDE w:val="0"/>
        <w:autoSpaceDN w:val="0"/>
        <w:adjustRightInd w:val="0"/>
        <w:spacing w:line="360" w:lineRule="exact"/>
        <w:ind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7.本管理办法经发包人、承包人双方确认后生效。</w:t>
      </w:r>
    </w:p>
    <w:p w14:paraId="1DA50294">
      <w:pPr>
        <w:autoSpaceDE w:val="0"/>
        <w:autoSpaceDN w:val="0"/>
        <w:adjustRightInd w:val="0"/>
        <w:spacing w:line="360" w:lineRule="exact"/>
        <w:ind w:firstLine="420" w:firstLineChars="200"/>
        <w:jc w:val="left"/>
        <w:rPr>
          <w:rFonts w:hint="eastAsia" w:ascii="宋体" w:hAnsi="宋体" w:eastAsia="宋体" w:cs="宋体"/>
          <w:bCs/>
          <w:sz w:val="21"/>
          <w:szCs w:val="21"/>
        </w:rPr>
      </w:pPr>
    </w:p>
    <w:p w14:paraId="512C7CFB">
      <w:pPr>
        <w:pStyle w:val="21"/>
        <w:ind w:left="63" w:right="63" w:firstLine="440"/>
        <w:rPr>
          <w:rFonts w:hint="eastAsia" w:ascii="宋体" w:hAnsi="宋体" w:eastAsia="宋体" w:cs="宋体"/>
          <w:bCs/>
          <w:sz w:val="21"/>
          <w:szCs w:val="21"/>
        </w:rPr>
      </w:pPr>
    </w:p>
    <w:p w14:paraId="6EC59F93">
      <w:pPr>
        <w:pStyle w:val="21"/>
        <w:ind w:left="0" w:leftChars="0" w:right="63" w:firstLine="440"/>
        <w:jc w:val="both"/>
        <w:rPr>
          <w:rFonts w:hint="eastAsia" w:ascii="宋体" w:hAnsi="宋体" w:eastAsia="宋体" w:cs="宋体"/>
          <w:bCs/>
          <w:sz w:val="21"/>
          <w:szCs w:val="21"/>
        </w:rPr>
      </w:pPr>
    </w:p>
    <w:p w14:paraId="29EC6BE8">
      <w:pPr>
        <w:ind w:firstLine="420"/>
        <w:rPr>
          <w:rFonts w:hint="eastAsia" w:ascii="宋体" w:hAnsi="宋体" w:eastAsia="宋体" w:cs="宋体"/>
          <w:sz w:val="21"/>
          <w:szCs w:val="21"/>
        </w:rPr>
      </w:pPr>
    </w:p>
    <w:p w14:paraId="78F63E2E">
      <w:pPr>
        <w:spacing w:line="480" w:lineRule="auto"/>
        <w:ind w:firstLine="480"/>
        <w:rPr>
          <w:rFonts w:hint="eastAsia" w:ascii="宋体" w:hAnsi="宋体" w:eastAsia="宋体" w:cs="宋体"/>
          <w:bCs/>
          <w:sz w:val="21"/>
          <w:szCs w:val="21"/>
        </w:rPr>
      </w:pPr>
      <w:r>
        <w:rPr>
          <w:rFonts w:hint="eastAsia" w:ascii="宋体" w:hAnsi="宋体" w:eastAsia="宋体" w:cs="宋体"/>
          <w:bCs/>
          <w:sz w:val="21"/>
          <w:szCs w:val="21"/>
        </w:rPr>
        <w:t>发包人：(公章)                      承包人：（公章）</w:t>
      </w:r>
    </w:p>
    <w:p w14:paraId="2E729BAB">
      <w:pPr>
        <w:spacing w:line="480" w:lineRule="auto"/>
        <w:ind w:firstLine="480"/>
        <w:rPr>
          <w:rFonts w:hint="eastAsia" w:ascii="宋体" w:hAnsi="宋体" w:eastAsia="宋体" w:cs="宋体"/>
          <w:bCs/>
          <w:sz w:val="21"/>
          <w:szCs w:val="21"/>
        </w:rPr>
      </w:pPr>
      <w:r>
        <w:rPr>
          <w:rFonts w:hint="eastAsia" w:ascii="宋体" w:hAnsi="宋体" w:eastAsia="宋体" w:cs="宋体"/>
          <w:bCs/>
          <w:sz w:val="21"/>
          <w:szCs w:val="21"/>
        </w:rPr>
        <w:t>地址：                              地址：</w:t>
      </w:r>
    </w:p>
    <w:p w14:paraId="02AC24F7">
      <w:pPr>
        <w:spacing w:line="480" w:lineRule="auto"/>
        <w:ind w:firstLine="480"/>
        <w:rPr>
          <w:rFonts w:hint="eastAsia" w:ascii="宋体" w:hAnsi="宋体" w:eastAsia="宋体" w:cs="宋体"/>
          <w:bCs/>
          <w:sz w:val="21"/>
          <w:szCs w:val="21"/>
        </w:rPr>
      </w:pPr>
      <w:r>
        <w:rPr>
          <w:rFonts w:hint="eastAsia" w:ascii="宋体" w:hAnsi="宋体" w:eastAsia="宋体" w:cs="宋体"/>
          <w:bCs/>
          <w:sz w:val="21"/>
          <w:szCs w:val="21"/>
        </w:rPr>
        <w:t>法定代表人：（签字）                法定代表人：（签字）</w:t>
      </w:r>
    </w:p>
    <w:p w14:paraId="48BC74B2">
      <w:pPr>
        <w:autoSpaceDE w:val="0"/>
        <w:autoSpaceDN w:val="0"/>
        <w:adjustRightInd w:val="0"/>
        <w:spacing w:line="480" w:lineRule="auto"/>
        <w:ind w:firstLine="480"/>
        <w:jc w:val="left"/>
        <w:rPr>
          <w:rFonts w:hint="eastAsia" w:ascii="宋体" w:hAnsi="宋体" w:eastAsia="宋体" w:cs="宋体"/>
          <w:sz w:val="21"/>
          <w:szCs w:val="21"/>
        </w:rPr>
      </w:pPr>
      <w:r>
        <w:rPr>
          <w:rFonts w:hint="eastAsia" w:ascii="宋体" w:hAnsi="宋体" w:eastAsia="宋体" w:cs="宋体"/>
          <w:sz w:val="21"/>
          <w:szCs w:val="21"/>
        </w:rPr>
        <w:t>委托代表人：                        委托代理人：</w:t>
      </w:r>
    </w:p>
    <w:p w14:paraId="298EA545">
      <w:pPr>
        <w:autoSpaceDE w:val="0"/>
        <w:autoSpaceDN w:val="0"/>
        <w:adjustRightInd w:val="0"/>
        <w:spacing w:line="480" w:lineRule="auto"/>
        <w:ind w:firstLine="480"/>
        <w:jc w:val="left"/>
        <w:rPr>
          <w:rFonts w:hint="eastAsia" w:ascii="宋体" w:hAnsi="宋体" w:cs="宋体"/>
          <w:sz w:val="24"/>
        </w:rPr>
      </w:pPr>
    </w:p>
    <w:p w14:paraId="481962BC">
      <w:pPr>
        <w:autoSpaceDE w:val="0"/>
        <w:autoSpaceDN w:val="0"/>
        <w:adjustRightInd w:val="0"/>
        <w:spacing w:line="480" w:lineRule="auto"/>
        <w:ind w:firstLine="480"/>
        <w:jc w:val="left"/>
        <w:rPr>
          <w:rFonts w:hint="eastAsia" w:ascii="宋体" w:hAnsi="宋体" w:cs="宋体"/>
          <w:sz w:val="24"/>
        </w:rPr>
      </w:pPr>
    </w:p>
    <w:p w14:paraId="3EBD042F">
      <w:pPr>
        <w:autoSpaceDE w:val="0"/>
        <w:autoSpaceDN w:val="0"/>
        <w:adjustRightInd w:val="0"/>
        <w:spacing w:line="480" w:lineRule="auto"/>
        <w:ind w:firstLine="480"/>
        <w:jc w:val="left"/>
        <w:rPr>
          <w:rFonts w:hint="eastAsia" w:ascii="宋体" w:hAnsi="宋体" w:cs="宋体"/>
          <w:sz w:val="24"/>
        </w:rPr>
      </w:pPr>
    </w:p>
    <w:p w14:paraId="7A8FA5D0">
      <w:pPr>
        <w:autoSpaceDE w:val="0"/>
        <w:autoSpaceDN w:val="0"/>
        <w:adjustRightInd w:val="0"/>
        <w:spacing w:line="480" w:lineRule="auto"/>
        <w:jc w:val="left"/>
        <w:rPr>
          <w:rFonts w:hint="eastAsia" w:ascii="宋体" w:hAnsi="宋体" w:cs="宋体"/>
          <w:sz w:val="24"/>
        </w:rPr>
      </w:pPr>
    </w:p>
    <w:p w14:paraId="7F0CB42B">
      <w:pPr>
        <w:pStyle w:val="2"/>
        <w:numPr>
          <w:ilvl w:val="0"/>
          <w:numId w:val="1"/>
        </w:numPr>
        <w:jc w:val="center"/>
        <w:rPr>
          <w:rFonts w:ascii="宋体" w:hAnsi="宋体" w:eastAsia="宋体" w:cs="宋体"/>
        </w:rPr>
      </w:pPr>
      <w:r>
        <w:rPr>
          <w:rFonts w:hint="eastAsia" w:ascii="宋体" w:hAnsi="宋体" w:eastAsia="宋体" w:cs="宋体"/>
        </w:rPr>
        <w:t xml:space="preserve"> 工程量清单</w:t>
      </w:r>
      <w:bookmarkEnd w:id="145"/>
    </w:p>
    <w:p w14:paraId="79FDC0F6">
      <w:pPr>
        <w:numPr>
          <w:ilvl w:val="255"/>
          <w:numId w:val="0"/>
        </w:numPr>
        <w:jc w:val="center"/>
        <w:rPr>
          <w:b/>
          <w:bCs/>
          <w:sz w:val="32"/>
          <w:szCs w:val="32"/>
        </w:rPr>
      </w:pPr>
      <w:r>
        <w:rPr>
          <w:rFonts w:hint="eastAsia"/>
          <w:b/>
          <w:bCs/>
          <w:sz w:val="32"/>
          <w:szCs w:val="32"/>
        </w:rPr>
        <w:t>（</w:t>
      </w:r>
      <w:r>
        <w:rPr>
          <w:rFonts w:hint="eastAsia"/>
          <w:b/>
          <w:bCs/>
          <w:sz w:val="32"/>
          <w:szCs w:val="32"/>
          <w:lang w:val="en-US" w:eastAsia="zh-CN"/>
        </w:rPr>
        <w:t>工程量清单</w:t>
      </w:r>
      <w:r>
        <w:rPr>
          <w:rFonts w:hint="eastAsia"/>
          <w:b/>
          <w:bCs/>
          <w:sz w:val="32"/>
          <w:szCs w:val="32"/>
        </w:rPr>
        <w:t>仅供参考）</w:t>
      </w:r>
    </w:p>
    <w:bookmarkEnd w:id="146"/>
    <w:p w14:paraId="753896C0">
      <w:pPr>
        <w:keepNext/>
        <w:keepLines/>
        <w:spacing w:line="360" w:lineRule="auto"/>
        <w:outlineLvl w:val="2"/>
        <w:rPr>
          <w:rFonts w:ascii="宋体" w:hAnsi="宋体"/>
          <w:b/>
          <w:bCs/>
          <w:kern w:val="0"/>
        </w:rPr>
      </w:pPr>
      <w:bookmarkStart w:id="147" w:name="_Toc498006749"/>
      <w:bookmarkStart w:id="148" w:name="_Toc473034406"/>
      <w:r>
        <w:rPr>
          <w:rFonts w:ascii="宋体" w:hAnsi="宋体" w:cs="宋体"/>
          <w:b/>
          <w:bCs/>
          <w:kern w:val="0"/>
        </w:rPr>
        <w:t>1</w:t>
      </w:r>
      <w:r>
        <w:rPr>
          <w:rFonts w:hint="eastAsia" w:ascii="宋体" w:hAnsi="宋体" w:cs="宋体"/>
          <w:b/>
          <w:bCs/>
          <w:kern w:val="0"/>
        </w:rPr>
        <w:t>．工程量清单编制说明</w:t>
      </w:r>
      <w:bookmarkEnd w:id="147"/>
      <w:bookmarkEnd w:id="148"/>
    </w:p>
    <w:p w14:paraId="3024EBED">
      <w:pPr>
        <w:spacing w:line="360" w:lineRule="auto"/>
        <w:ind w:left="-4" w:leftChars="-2" w:firstLine="359" w:firstLineChars="171"/>
        <w:rPr>
          <w:rFonts w:ascii="宋体" w:hAnsi="Calibri"/>
        </w:rPr>
      </w:pPr>
      <w:r>
        <w:rPr>
          <w:rFonts w:ascii="宋体" w:hAnsi="宋体" w:cs="宋体"/>
        </w:rPr>
        <w:t>1.1</w:t>
      </w:r>
      <w:r>
        <w:rPr>
          <w:rFonts w:hint="eastAsia" w:ascii="宋体" w:hAnsi="宋体" w:cs="宋体"/>
        </w:rPr>
        <w:t xml:space="preserve"> 本工程量清单是依据现行国家标准《建设工程工程量清单计价规范》</w:t>
      </w:r>
      <w:r>
        <w:rPr>
          <w:rFonts w:ascii="宋体" w:hAnsi="宋体" w:cs="宋体"/>
        </w:rPr>
        <w:t>(GB50500-2013)</w:t>
      </w:r>
      <w:r>
        <w:rPr>
          <w:rFonts w:hint="eastAsia" w:ascii="宋体" w:hAnsi="宋体" w:cs="宋体"/>
        </w:rPr>
        <w:t>及其</w:t>
      </w:r>
      <w:r>
        <w:rPr>
          <w:rFonts w:ascii="宋体" w:hAnsi="宋体" w:cs="宋体"/>
        </w:rPr>
        <w:t>9</w:t>
      </w:r>
      <w:r>
        <w:rPr>
          <w:rFonts w:hint="eastAsia" w:ascii="宋体" w:hAnsi="宋体" w:cs="宋体"/>
        </w:rPr>
        <w:t>本计算规范</w:t>
      </w:r>
      <w:r>
        <w:rPr>
          <w:rFonts w:ascii="宋体" w:hAnsi="宋体" w:cs="宋体"/>
        </w:rPr>
        <w:t>(</w:t>
      </w:r>
      <w:r>
        <w:rPr>
          <w:rFonts w:hint="eastAsia" w:ascii="宋体" w:hAnsi="宋体" w:cs="宋体"/>
        </w:rPr>
        <w:t>以下简称“计价规范”</w:t>
      </w:r>
      <w:r>
        <w:rPr>
          <w:rFonts w:ascii="宋体" w:hAnsi="宋体" w:cs="宋体"/>
        </w:rPr>
        <w:t>)</w:t>
      </w:r>
      <w:r>
        <w:rPr>
          <w:rFonts w:hint="eastAsia" w:ascii="宋体" w:hAnsi="宋体" w:cs="宋体"/>
        </w:rPr>
        <w:t>、地方规定以及招标文件中包括的图纸等编制。</w:t>
      </w:r>
    </w:p>
    <w:p w14:paraId="2FEAAC83">
      <w:pPr>
        <w:spacing w:line="360" w:lineRule="auto"/>
        <w:ind w:left="-4" w:leftChars="-2" w:firstLine="359" w:firstLineChars="171"/>
        <w:rPr>
          <w:rFonts w:ascii="宋体" w:hAnsi="Calibri"/>
        </w:rPr>
      </w:pPr>
      <w:r>
        <w:rPr>
          <w:rFonts w:ascii="宋体" w:hAnsi="宋体" w:cs="宋体"/>
        </w:rPr>
        <w:t>1.2</w:t>
      </w:r>
      <w:r>
        <w:rPr>
          <w:rFonts w:hint="eastAsia" w:ascii="宋体" w:hAnsi="宋体" w:cs="宋体"/>
        </w:rPr>
        <w:t xml:space="preserve"> 本工程量清单应与招标文件中的投标须知、通用合同条款、专用合同条款、技术标准和要求及图纸等章节内容一起阅读和理解。</w:t>
      </w:r>
    </w:p>
    <w:p w14:paraId="7602CDD0">
      <w:pPr>
        <w:spacing w:line="360" w:lineRule="auto"/>
        <w:ind w:left="-4" w:leftChars="-2" w:firstLine="359" w:firstLineChars="171"/>
        <w:rPr>
          <w:rFonts w:ascii="宋体" w:hAnsi="Calibri"/>
        </w:rPr>
      </w:pPr>
      <w:r>
        <w:rPr>
          <w:rFonts w:ascii="宋体" w:hAnsi="宋体" w:cs="宋体"/>
        </w:rPr>
        <w:t>1.3</w:t>
      </w:r>
      <w:r>
        <w:rPr>
          <w:rFonts w:hint="eastAsia" w:ascii="宋体" w:hAnsi="宋体" w:cs="宋体"/>
        </w:rPr>
        <w:t xml:space="preserve"> 本工程量清单仅是投标报价的共同基础，竣工结算的工程量按合同约定确定。合同价格的确定以及价款支付应遵循合同条款</w:t>
      </w:r>
      <w:r>
        <w:rPr>
          <w:rFonts w:ascii="宋体" w:hAnsi="宋体" w:cs="宋体"/>
        </w:rPr>
        <w:t>(</w:t>
      </w:r>
      <w:r>
        <w:rPr>
          <w:rFonts w:hint="eastAsia" w:ascii="宋体" w:hAnsi="宋体" w:cs="宋体"/>
        </w:rPr>
        <w:t>包括通用合同条款和专用合同条款</w:t>
      </w:r>
      <w:r>
        <w:rPr>
          <w:rFonts w:ascii="宋体" w:hAnsi="宋体" w:cs="宋体"/>
        </w:rPr>
        <w:t>)</w:t>
      </w:r>
      <w:r>
        <w:rPr>
          <w:rFonts w:hint="eastAsia" w:ascii="宋体" w:hAnsi="宋体" w:cs="宋体"/>
        </w:rPr>
        <w:t>、技术标准和要求以及本章的有关约定。</w:t>
      </w:r>
    </w:p>
    <w:p w14:paraId="6C5CB713">
      <w:pPr>
        <w:spacing w:line="360" w:lineRule="auto"/>
        <w:ind w:left="-4" w:leftChars="-2" w:firstLine="359" w:firstLineChars="171"/>
        <w:rPr>
          <w:rFonts w:ascii="宋体" w:hAnsi="Calibri"/>
        </w:rPr>
      </w:pPr>
      <w:r>
        <w:rPr>
          <w:rFonts w:ascii="宋体" w:hAnsi="宋体" w:cs="宋体"/>
        </w:rPr>
        <w:t>1.4</w:t>
      </w:r>
      <w:r>
        <w:rPr>
          <w:rFonts w:hint="eastAsia" w:ascii="宋体" w:hAnsi="宋体" w:cs="宋体"/>
        </w:rPr>
        <w:t xml:space="preserve"> 本条第</w:t>
      </w:r>
      <w:r>
        <w:rPr>
          <w:rFonts w:ascii="宋体" w:hAnsi="宋体" w:cs="宋体"/>
        </w:rPr>
        <w:t>1.1</w:t>
      </w:r>
      <w:r>
        <w:rPr>
          <w:rFonts w:hint="eastAsia" w:ascii="宋体" w:hAnsi="宋体" w:cs="宋体"/>
        </w:rPr>
        <w:t>款中约定的计量和计价规则适用于合同履约过程中工程量计量与价款支付、工程变更、索赔和工程结算。</w:t>
      </w:r>
    </w:p>
    <w:p w14:paraId="60026967">
      <w:pPr>
        <w:spacing w:line="360" w:lineRule="auto"/>
        <w:ind w:left="-4" w:leftChars="-2" w:firstLine="359" w:firstLineChars="171"/>
        <w:rPr>
          <w:rFonts w:ascii="宋体" w:hAnsi="Calibri"/>
        </w:rPr>
      </w:pPr>
      <w:r>
        <w:rPr>
          <w:rFonts w:ascii="宋体" w:hAnsi="宋体" w:cs="宋体"/>
        </w:rPr>
        <w:t>1.5</w:t>
      </w:r>
      <w:r>
        <w:rPr>
          <w:rFonts w:hint="eastAsia" w:ascii="宋体" w:hAnsi="宋体" w:cs="宋体"/>
        </w:rPr>
        <w:t xml:space="preserve"> 本条与本章第</w:t>
      </w:r>
      <w:r>
        <w:rPr>
          <w:rFonts w:ascii="宋体" w:hAnsi="宋体" w:cs="宋体"/>
        </w:rPr>
        <w:t>2</w:t>
      </w:r>
      <w:r>
        <w:rPr>
          <w:rFonts w:hint="eastAsia" w:ascii="宋体" w:hAnsi="宋体" w:cs="宋体"/>
        </w:rPr>
        <w:t>条和第</w:t>
      </w:r>
      <w:r>
        <w:rPr>
          <w:rFonts w:ascii="宋体" w:hAnsi="宋体" w:cs="宋体"/>
        </w:rPr>
        <w:t>3</w:t>
      </w:r>
      <w:r>
        <w:rPr>
          <w:rFonts w:hint="eastAsia" w:ascii="宋体" w:hAnsi="宋体" w:cs="宋体"/>
        </w:rPr>
        <w:t>条的说明内容是构成合同文件的已标价工程量清单的组成部分。</w:t>
      </w:r>
    </w:p>
    <w:p w14:paraId="4326B459">
      <w:pPr>
        <w:keepNext/>
        <w:keepLines/>
        <w:spacing w:line="360" w:lineRule="auto"/>
        <w:outlineLvl w:val="2"/>
        <w:rPr>
          <w:rFonts w:ascii="宋体" w:hAnsi="宋体" w:cs="宋体"/>
          <w:b/>
          <w:bCs/>
          <w:kern w:val="0"/>
        </w:rPr>
      </w:pPr>
      <w:bookmarkStart w:id="149" w:name="_Toc498006750"/>
      <w:bookmarkStart w:id="150" w:name="_Toc473034407"/>
      <w:r>
        <w:rPr>
          <w:rFonts w:ascii="宋体" w:hAnsi="宋体" w:cs="宋体"/>
          <w:b/>
          <w:bCs/>
          <w:kern w:val="0"/>
        </w:rPr>
        <w:t>2</w:t>
      </w:r>
      <w:r>
        <w:rPr>
          <w:rFonts w:hint="eastAsia" w:ascii="宋体" w:hAnsi="宋体" w:cs="宋体"/>
          <w:b/>
          <w:bCs/>
          <w:kern w:val="0"/>
        </w:rPr>
        <w:t>．投标报价编制要求</w:t>
      </w:r>
      <w:bookmarkEnd w:id="149"/>
      <w:bookmarkEnd w:id="150"/>
    </w:p>
    <w:p w14:paraId="46C52B46">
      <w:pPr>
        <w:spacing w:line="360" w:lineRule="auto"/>
        <w:ind w:firstLine="359" w:firstLineChars="171"/>
        <w:rPr>
          <w:rFonts w:ascii="宋体" w:hAnsi="Calibri"/>
        </w:rPr>
      </w:pPr>
      <w:r>
        <w:rPr>
          <w:rFonts w:ascii="宋体" w:hAnsi="宋体" w:cs="宋体"/>
        </w:rPr>
        <w:t>2.1</w:t>
      </w:r>
      <w:r>
        <w:rPr>
          <w:rFonts w:hint="eastAsia" w:ascii="宋体" w:hAnsi="宋体" w:cs="宋体"/>
        </w:rPr>
        <w:t xml:space="preserve"> 投标报价应根据招标文件中的有关计价要求，并按照下列依据自主报价，但不得低于成本。</w:t>
      </w:r>
    </w:p>
    <w:p w14:paraId="326F0A0A">
      <w:pPr>
        <w:spacing w:line="360" w:lineRule="auto"/>
        <w:ind w:firstLine="359" w:firstLineChars="171"/>
        <w:rPr>
          <w:rFonts w:ascii="宋体" w:hAnsi="Calibri"/>
        </w:rPr>
      </w:pPr>
      <w:r>
        <w:rPr>
          <w:rFonts w:hint="eastAsia" w:ascii="宋体" w:hAnsi="宋体" w:cs="宋体"/>
        </w:rPr>
        <w:t>（</w:t>
      </w:r>
      <w:r>
        <w:rPr>
          <w:rFonts w:ascii="宋体" w:hAnsi="宋体" w:cs="宋体"/>
        </w:rPr>
        <w:t>1</w:t>
      </w:r>
      <w:r>
        <w:rPr>
          <w:rFonts w:hint="eastAsia" w:ascii="宋体" w:hAnsi="宋体" w:cs="宋体"/>
        </w:rPr>
        <w:t>）本招标文件；</w:t>
      </w:r>
    </w:p>
    <w:p w14:paraId="719F965A">
      <w:pPr>
        <w:spacing w:line="360" w:lineRule="auto"/>
        <w:ind w:firstLine="359" w:firstLineChars="171"/>
        <w:rPr>
          <w:rFonts w:ascii="宋体" w:hAnsi="Calibri"/>
        </w:rPr>
      </w:pPr>
      <w:r>
        <w:rPr>
          <w:rFonts w:hint="eastAsia" w:ascii="宋体" w:hAnsi="宋体" w:cs="宋体"/>
        </w:rPr>
        <w:t>（</w:t>
      </w:r>
      <w:r>
        <w:rPr>
          <w:rFonts w:ascii="宋体" w:hAnsi="宋体" w:cs="宋体"/>
        </w:rPr>
        <w:t>2</w:t>
      </w:r>
      <w:r>
        <w:rPr>
          <w:rFonts w:hint="eastAsia" w:ascii="宋体" w:hAnsi="宋体" w:cs="宋体"/>
        </w:rPr>
        <w:t>）</w:t>
      </w:r>
      <w:r>
        <w:rPr>
          <w:rFonts w:hint="eastAsia" w:ascii="宋体" w:hAnsi="宋体"/>
        </w:rPr>
        <w:t>《建设工程工程量清单计价规范》</w:t>
      </w:r>
      <w:r>
        <w:rPr>
          <w:rFonts w:ascii="宋体" w:hAnsi="宋体"/>
        </w:rPr>
        <w:t xml:space="preserve"> (GB50500-2013)</w:t>
      </w:r>
      <w:r>
        <w:rPr>
          <w:rFonts w:hint="eastAsia" w:ascii="宋体" w:hAnsi="宋体"/>
        </w:rPr>
        <w:t xml:space="preserve"> 及其9本计算规范；</w:t>
      </w:r>
    </w:p>
    <w:p w14:paraId="114949F6">
      <w:pPr>
        <w:spacing w:line="360" w:lineRule="auto"/>
        <w:ind w:firstLine="359" w:firstLineChars="171"/>
        <w:rPr>
          <w:rFonts w:ascii="宋体" w:hAnsi="Calibri"/>
        </w:rPr>
      </w:pPr>
      <w:r>
        <w:rPr>
          <w:rFonts w:hint="eastAsia" w:ascii="宋体" w:hAnsi="宋体" w:cs="宋体"/>
        </w:rPr>
        <w:t>（</w:t>
      </w:r>
      <w:r>
        <w:rPr>
          <w:rFonts w:ascii="宋体" w:hAnsi="宋体" w:cs="宋体"/>
        </w:rPr>
        <w:t>3</w:t>
      </w:r>
      <w:r>
        <w:rPr>
          <w:rFonts w:hint="eastAsia" w:ascii="宋体" w:hAnsi="宋体" w:cs="宋体"/>
        </w:rPr>
        <w:t>）</w:t>
      </w:r>
      <w:r>
        <w:rPr>
          <w:rFonts w:ascii="宋体" w:hAnsi="宋体"/>
        </w:rPr>
        <w:t>《江苏省市政工程计价表》（2014）</w:t>
      </w:r>
      <w:r>
        <w:rPr>
          <w:rFonts w:hint="eastAsia" w:ascii="宋体" w:hAnsi="宋体" w:cs="宋体"/>
        </w:rPr>
        <w:t>；</w:t>
      </w:r>
    </w:p>
    <w:p w14:paraId="1C01401A">
      <w:pPr>
        <w:spacing w:line="360" w:lineRule="auto"/>
        <w:ind w:firstLine="359" w:firstLineChars="171"/>
        <w:rPr>
          <w:rFonts w:ascii="宋体" w:hAnsi="Calibri"/>
        </w:rPr>
      </w:pPr>
      <w:r>
        <w:rPr>
          <w:rFonts w:hint="eastAsia" w:ascii="宋体" w:hAnsi="宋体" w:cs="宋体"/>
        </w:rPr>
        <w:t>（</w:t>
      </w:r>
      <w:r>
        <w:rPr>
          <w:rFonts w:ascii="宋体" w:hAnsi="宋体" w:cs="宋体"/>
        </w:rPr>
        <w:t>4</w:t>
      </w:r>
      <w:r>
        <w:rPr>
          <w:rFonts w:hint="eastAsia" w:ascii="宋体" w:hAnsi="宋体" w:cs="宋体"/>
        </w:rPr>
        <w:t>）《江苏省建设工程费用定额》（</w:t>
      </w:r>
      <w:r>
        <w:rPr>
          <w:rFonts w:ascii="宋体" w:hAnsi="宋体" w:cs="宋体"/>
        </w:rPr>
        <w:t>2014</w:t>
      </w:r>
      <w:r>
        <w:rPr>
          <w:rFonts w:hint="eastAsia" w:ascii="宋体" w:hAnsi="宋体" w:cs="宋体"/>
        </w:rPr>
        <w:t>）版及现行的相关规定；</w:t>
      </w:r>
    </w:p>
    <w:p w14:paraId="07BE13D6">
      <w:pPr>
        <w:spacing w:line="360" w:lineRule="auto"/>
        <w:ind w:firstLine="359" w:firstLineChars="171"/>
        <w:rPr>
          <w:rFonts w:ascii="宋体" w:hAnsi="Calibri"/>
        </w:rPr>
      </w:pPr>
      <w:r>
        <w:rPr>
          <w:rFonts w:hint="eastAsia" w:ascii="宋体" w:hAnsi="宋体" w:cs="宋体"/>
        </w:rPr>
        <w:t>（</w:t>
      </w:r>
      <w:r>
        <w:rPr>
          <w:rFonts w:ascii="宋体" w:hAnsi="宋体" w:cs="宋体"/>
        </w:rPr>
        <w:t>5</w:t>
      </w:r>
      <w:r>
        <w:rPr>
          <w:rFonts w:hint="eastAsia" w:ascii="宋体" w:hAnsi="宋体" w:cs="宋体"/>
        </w:rPr>
        <w:t>）苏建价【</w:t>
      </w:r>
      <w:r>
        <w:rPr>
          <w:rFonts w:ascii="宋体" w:hAnsi="宋体" w:cs="宋体"/>
        </w:rPr>
        <w:t>2016</w:t>
      </w:r>
      <w:r>
        <w:rPr>
          <w:rFonts w:hint="eastAsia" w:ascii="宋体" w:hAnsi="宋体" w:cs="宋体"/>
        </w:rPr>
        <w:t>】</w:t>
      </w:r>
      <w:r>
        <w:rPr>
          <w:rFonts w:ascii="宋体" w:hAnsi="宋体" w:cs="宋体"/>
        </w:rPr>
        <w:t>154</w:t>
      </w:r>
      <w:r>
        <w:rPr>
          <w:rFonts w:hint="eastAsia" w:ascii="宋体" w:hAnsi="宋体" w:cs="宋体"/>
        </w:rPr>
        <w:t>号文（省住房城乡建设厅关于建筑业实施营改增后江苏省建设工程计价依据调整的通知）、苏建函价【</w:t>
      </w:r>
      <w:r>
        <w:rPr>
          <w:rFonts w:ascii="宋体" w:hAnsi="宋体" w:cs="宋体"/>
        </w:rPr>
        <w:t>2018</w:t>
      </w:r>
      <w:r>
        <w:rPr>
          <w:rFonts w:hint="eastAsia" w:ascii="宋体" w:hAnsi="宋体" w:cs="宋体"/>
        </w:rPr>
        <w:t>】</w:t>
      </w:r>
      <w:r>
        <w:rPr>
          <w:rFonts w:ascii="宋体" w:hAnsi="宋体" w:cs="宋体"/>
        </w:rPr>
        <w:t>298</w:t>
      </w:r>
      <w:r>
        <w:rPr>
          <w:rFonts w:hint="eastAsia" w:ascii="宋体" w:hAnsi="宋体" w:cs="宋体"/>
        </w:rPr>
        <w:t>号文（省住房城乡建设厅关于建筑业增值税计价政策调整的通知）、苏建函价【</w:t>
      </w:r>
      <w:r>
        <w:rPr>
          <w:rFonts w:ascii="宋体" w:hAnsi="宋体" w:cs="宋体"/>
        </w:rPr>
        <w:t>2019</w:t>
      </w:r>
      <w:r>
        <w:rPr>
          <w:rFonts w:hint="eastAsia" w:ascii="宋体" w:hAnsi="宋体" w:cs="宋体"/>
        </w:rPr>
        <w:t>】</w:t>
      </w:r>
      <w:r>
        <w:rPr>
          <w:rFonts w:ascii="宋体" w:hAnsi="宋体" w:cs="宋体"/>
        </w:rPr>
        <w:t>178</w:t>
      </w:r>
      <w:r>
        <w:rPr>
          <w:rFonts w:hint="eastAsia" w:ascii="宋体" w:hAnsi="宋体" w:cs="宋体"/>
        </w:rPr>
        <w:t>号文（省住房城乡建设厅关于调整建设工程计价增值税税率的通知）以及相应补充规定和省、市其他有关规定执行；</w:t>
      </w:r>
    </w:p>
    <w:p w14:paraId="06D344B9">
      <w:pPr>
        <w:spacing w:line="360" w:lineRule="auto"/>
        <w:ind w:firstLine="359" w:firstLineChars="171"/>
        <w:rPr>
          <w:rFonts w:ascii="宋体" w:hAnsi="Calibri"/>
        </w:rPr>
      </w:pPr>
      <w:r>
        <w:rPr>
          <w:rFonts w:hint="eastAsia" w:ascii="宋体" w:hAnsi="宋体" w:cs="宋体"/>
        </w:rPr>
        <w:t>（</w:t>
      </w:r>
      <w:r>
        <w:rPr>
          <w:rFonts w:ascii="宋体" w:hAnsi="宋体" w:cs="宋体"/>
        </w:rPr>
        <w:t>6</w:t>
      </w:r>
      <w:r>
        <w:rPr>
          <w:rFonts w:hint="eastAsia" w:ascii="宋体" w:hAnsi="宋体" w:cs="宋体"/>
        </w:rPr>
        <w:t>）本工程相关税费的计取以工程量清单为准；</w:t>
      </w:r>
    </w:p>
    <w:p w14:paraId="347A3B47">
      <w:pPr>
        <w:spacing w:line="360" w:lineRule="auto"/>
        <w:ind w:firstLine="359" w:firstLineChars="171"/>
        <w:rPr>
          <w:rFonts w:ascii="宋体" w:hAnsi="Calibri"/>
        </w:rPr>
      </w:pPr>
      <w:r>
        <w:rPr>
          <w:rFonts w:hint="eastAsia" w:ascii="宋体" w:hAnsi="宋体" w:cs="宋体"/>
        </w:rPr>
        <w:t>（</w:t>
      </w:r>
      <w:r>
        <w:rPr>
          <w:rFonts w:ascii="宋体" w:hAnsi="宋体" w:cs="宋体"/>
        </w:rPr>
        <w:t>7</w:t>
      </w:r>
      <w:r>
        <w:rPr>
          <w:rFonts w:hint="eastAsia" w:ascii="宋体" w:hAnsi="宋体" w:cs="宋体"/>
        </w:rPr>
        <w:t>）国家或省级、行业建设主管部门颁发的计价办法；</w:t>
      </w:r>
    </w:p>
    <w:p w14:paraId="6AE75A9A">
      <w:pPr>
        <w:spacing w:line="360" w:lineRule="auto"/>
        <w:ind w:firstLine="359" w:firstLineChars="171"/>
        <w:rPr>
          <w:rFonts w:ascii="宋体" w:hAnsi="Calibri"/>
        </w:rPr>
      </w:pPr>
      <w:r>
        <w:rPr>
          <w:rFonts w:hint="eastAsia" w:ascii="宋体" w:hAnsi="宋体" w:cs="宋体"/>
        </w:rPr>
        <w:t>（</w:t>
      </w:r>
      <w:r>
        <w:rPr>
          <w:rFonts w:ascii="宋体" w:hAnsi="宋体" w:cs="宋体"/>
        </w:rPr>
        <w:t>8</w:t>
      </w:r>
      <w:r>
        <w:rPr>
          <w:rFonts w:hint="eastAsia" w:ascii="宋体" w:hAnsi="宋体" w:cs="宋体"/>
        </w:rPr>
        <w:t>）企业定额，国家或省级、行业建设主管部门颁发的计价定额；</w:t>
      </w:r>
    </w:p>
    <w:p w14:paraId="14E6D9E8">
      <w:pPr>
        <w:spacing w:line="360" w:lineRule="auto"/>
        <w:ind w:firstLine="359" w:firstLineChars="171"/>
        <w:rPr>
          <w:rFonts w:ascii="宋体" w:hAnsi="Calibri"/>
        </w:rPr>
      </w:pPr>
      <w:r>
        <w:rPr>
          <w:rFonts w:hint="eastAsia" w:ascii="宋体" w:hAnsi="宋体" w:cs="宋体"/>
        </w:rPr>
        <w:t>（</w:t>
      </w:r>
      <w:r>
        <w:rPr>
          <w:rFonts w:ascii="宋体" w:hAnsi="宋体" w:cs="宋体"/>
        </w:rPr>
        <w:t>9</w:t>
      </w:r>
      <w:r>
        <w:rPr>
          <w:rFonts w:hint="eastAsia" w:ascii="宋体" w:hAnsi="宋体" w:cs="宋体"/>
        </w:rPr>
        <w:t>）谈判文件、招标工程量清单及其补充通知、答疑纪要；</w:t>
      </w:r>
    </w:p>
    <w:p w14:paraId="36465732">
      <w:pPr>
        <w:spacing w:line="360" w:lineRule="auto"/>
        <w:ind w:firstLine="359" w:firstLineChars="171"/>
        <w:rPr>
          <w:rFonts w:ascii="宋体" w:hAnsi="Calibri"/>
        </w:rPr>
      </w:pPr>
      <w:r>
        <w:rPr>
          <w:rFonts w:hint="eastAsia" w:ascii="宋体" w:hAnsi="宋体" w:cs="宋体"/>
        </w:rPr>
        <w:t>（</w:t>
      </w:r>
      <w:r>
        <w:rPr>
          <w:rFonts w:ascii="宋体" w:hAnsi="宋体" w:cs="宋体"/>
        </w:rPr>
        <w:t>10</w:t>
      </w:r>
      <w:r>
        <w:rPr>
          <w:rFonts w:hint="eastAsia" w:ascii="宋体" w:hAnsi="宋体" w:cs="宋体"/>
        </w:rPr>
        <w:t>）建设工程设计文件及相关资料；</w:t>
      </w:r>
    </w:p>
    <w:p w14:paraId="4CED5073">
      <w:pPr>
        <w:spacing w:line="360" w:lineRule="auto"/>
        <w:ind w:firstLine="359" w:firstLineChars="171"/>
        <w:rPr>
          <w:rFonts w:ascii="宋体" w:hAnsi="Calibri"/>
        </w:rPr>
      </w:pPr>
      <w:r>
        <w:rPr>
          <w:rFonts w:hint="eastAsia" w:ascii="宋体" w:hAnsi="宋体" w:cs="宋体"/>
        </w:rPr>
        <w:t>（</w:t>
      </w:r>
      <w:r>
        <w:rPr>
          <w:rFonts w:ascii="宋体" w:hAnsi="宋体" w:cs="宋体"/>
        </w:rPr>
        <w:t>11</w:t>
      </w:r>
      <w:r>
        <w:rPr>
          <w:rFonts w:hint="eastAsia" w:ascii="宋体" w:hAnsi="宋体" w:cs="宋体"/>
        </w:rPr>
        <w:t>）施工现场情况、工程特点及拟定的投标施工组织设计或施工方案；</w:t>
      </w:r>
    </w:p>
    <w:p w14:paraId="47CCA0BE">
      <w:pPr>
        <w:spacing w:line="360" w:lineRule="auto"/>
        <w:ind w:firstLine="359" w:firstLineChars="171"/>
        <w:rPr>
          <w:rFonts w:ascii="宋体" w:hAnsi="Calibri"/>
        </w:rPr>
      </w:pPr>
      <w:r>
        <w:rPr>
          <w:rFonts w:hint="eastAsia" w:ascii="宋体" w:hAnsi="宋体" w:cs="宋体"/>
        </w:rPr>
        <w:t>（</w:t>
      </w:r>
      <w:r>
        <w:rPr>
          <w:rFonts w:ascii="宋体" w:hAnsi="宋体" w:cs="宋体"/>
        </w:rPr>
        <w:t>11</w:t>
      </w:r>
      <w:r>
        <w:rPr>
          <w:rFonts w:hint="eastAsia" w:ascii="宋体" w:hAnsi="宋体" w:cs="宋体"/>
        </w:rPr>
        <w:t>）与建设项目相关的标准、规范等技术资料；</w:t>
      </w:r>
    </w:p>
    <w:p w14:paraId="240E3440">
      <w:pPr>
        <w:spacing w:line="360" w:lineRule="auto"/>
        <w:ind w:firstLine="359" w:firstLineChars="171"/>
        <w:rPr>
          <w:rFonts w:ascii="宋体" w:hAnsi="Calibri"/>
        </w:rPr>
      </w:pPr>
      <w:r>
        <w:rPr>
          <w:rFonts w:hint="eastAsia" w:ascii="宋体" w:hAnsi="宋体" w:cs="宋体"/>
        </w:rPr>
        <w:t>（</w:t>
      </w:r>
      <w:r>
        <w:rPr>
          <w:rFonts w:ascii="宋体" w:hAnsi="宋体" w:cs="宋体"/>
        </w:rPr>
        <w:t>13</w:t>
      </w:r>
      <w:r>
        <w:rPr>
          <w:rFonts w:hint="eastAsia" w:ascii="宋体" w:hAnsi="宋体" w:cs="宋体"/>
        </w:rPr>
        <w:t>）市场价格信息或工程造价管理机构发布的工程造价信息；</w:t>
      </w:r>
    </w:p>
    <w:p w14:paraId="01267A36">
      <w:pPr>
        <w:spacing w:line="360" w:lineRule="auto"/>
        <w:ind w:firstLine="359" w:firstLineChars="171"/>
        <w:rPr>
          <w:rFonts w:ascii="宋体" w:hAnsi="Calibri"/>
        </w:rPr>
      </w:pPr>
      <w:r>
        <w:rPr>
          <w:rFonts w:hint="eastAsia" w:ascii="宋体" w:hAnsi="宋体" w:cs="宋体"/>
        </w:rPr>
        <w:t>（</w:t>
      </w:r>
      <w:r>
        <w:rPr>
          <w:rFonts w:ascii="宋体" w:hAnsi="宋体" w:cs="宋体"/>
        </w:rPr>
        <w:t>14</w:t>
      </w:r>
      <w:r>
        <w:rPr>
          <w:rFonts w:hint="eastAsia" w:ascii="宋体" w:hAnsi="宋体" w:cs="宋体"/>
        </w:rPr>
        <w:t>）其他的相关资料。</w:t>
      </w:r>
    </w:p>
    <w:p w14:paraId="65226E67">
      <w:pPr>
        <w:spacing w:line="360" w:lineRule="auto"/>
        <w:ind w:firstLine="359" w:firstLineChars="171"/>
        <w:rPr>
          <w:rFonts w:ascii="宋体" w:hAnsi="宋体"/>
        </w:rPr>
      </w:pPr>
      <w:r>
        <w:rPr>
          <w:rFonts w:ascii="宋体" w:hAnsi="宋体"/>
        </w:rPr>
        <w:t>2.2</w:t>
      </w:r>
      <w:r>
        <w:rPr>
          <w:rFonts w:hint="eastAsia" w:ascii="宋体" w:hAnsi="宋体"/>
        </w:rPr>
        <w:t>招标工程量清单与计价表中列明的所有需要填写单价和合价的项目，均应填写且只允许有一个报价。未填写单价和合价的项目，视为此项费用已包含在已标价工程量清单中其他项目的单价和合价之中。</w:t>
      </w:r>
    </w:p>
    <w:p w14:paraId="6ABC2C01">
      <w:pPr>
        <w:spacing w:line="360" w:lineRule="auto"/>
        <w:ind w:firstLine="359" w:firstLineChars="171"/>
        <w:rPr>
          <w:rFonts w:ascii="宋体" w:hAnsi="宋体"/>
        </w:rPr>
      </w:pPr>
      <w:r>
        <w:rPr>
          <w:rFonts w:ascii="宋体" w:hAnsi="宋体"/>
        </w:rPr>
        <w:t>2.3</w:t>
      </w:r>
      <w:r>
        <w:rPr>
          <w:rFonts w:hint="eastAsia" w:ascii="宋体" w:hAnsi="宋体"/>
        </w:rPr>
        <w:t>工程量清单中标价的单价或金额，应包括所需人工费、材料费、施工机具使用费、管理费和利润，以及一定范围内的风险费用。所谓“一定范围内的风险”是指合同约定的风险。</w:t>
      </w:r>
    </w:p>
    <w:p w14:paraId="4B23060D">
      <w:pPr>
        <w:spacing w:line="360" w:lineRule="auto"/>
        <w:ind w:firstLine="359" w:firstLineChars="171"/>
        <w:rPr>
          <w:rFonts w:ascii="宋体" w:hAnsi="宋体"/>
        </w:rPr>
      </w:pPr>
      <w:r>
        <w:rPr>
          <w:rFonts w:ascii="宋体" w:hAnsi="宋体"/>
        </w:rPr>
        <w:t xml:space="preserve">2.4 </w:t>
      </w:r>
      <w:r>
        <w:rPr>
          <w:rFonts w:hint="eastAsia" w:ascii="宋体" w:hAnsi="宋体"/>
        </w:rPr>
        <w:t>“投标报价汇总表”中的投标总价由分部分项工程费、措施项目费、其他项目费、规费和税金组成，并且“投标报价汇总表”中的投标总价应当与构成已标价工程量清单的分部分项工程费、措施项目费、其他项目费、规费、税金的合计金额一致。</w:t>
      </w:r>
    </w:p>
    <w:p w14:paraId="3CC9AF01">
      <w:pPr>
        <w:spacing w:line="360" w:lineRule="auto"/>
        <w:ind w:firstLine="359" w:firstLineChars="171"/>
        <w:rPr>
          <w:rFonts w:ascii="宋体" w:hAnsi="宋体"/>
        </w:rPr>
      </w:pPr>
      <w:r>
        <w:rPr>
          <w:rFonts w:ascii="宋体" w:hAnsi="宋体"/>
        </w:rPr>
        <w:t>2.5</w:t>
      </w:r>
      <w:r>
        <w:rPr>
          <w:rFonts w:hint="eastAsia" w:ascii="宋体" w:hAnsi="宋体"/>
        </w:rPr>
        <w:t>分部分项工程和措施项目中的单价项目按下列要求报价：</w:t>
      </w:r>
    </w:p>
    <w:p w14:paraId="0951928B">
      <w:pPr>
        <w:spacing w:line="360" w:lineRule="auto"/>
        <w:ind w:firstLine="539" w:firstLineChars="257"/>
        <w:rPr>
          <w:rFonts w:ascii="宋体" w:hAnsi="宋体"/>
        </w:rPr>
      </w:pPr>
      <w:r>
        <w:rPr>
          <w:rFonts w:ascii="宋体" w:hAnsi="宋体"/>
        </w:rPr>
        <w:t>2.5.1</w:t>
      </w:r>
      <w:r>
        <w:rPr>
          <w:rFonts w:hint="eastAsia" w:ascii="宋体" w:hAnsi="宋体"/>
        </w:rPr>
        <w:t>分部分项工程和措施项目中的单价项目，应根据招标文件和招标工程量清单确定综合单价。</w:t>
      </w:r>
    </w:p>
    <w:p w14:paraId="741DBDBC">
      <w:pPr>
        <w:spacing w:line="360" w:lineRule="auto"/>
        <w:ind w:firstLine="539" w:firstLineChars="257"/>
        <w:rPr>
          <w:rFonts w:ascii="宋体" w:hAnsi="宋体"/>
        </w:rPr>
      </w:pPr>
      <w:r>
        <w:rPr>
          <w:rFonts w:ascii="宋体" w:hAnsi="宋体"/>
        </w:rPr>
        <w:t>2.5.2</w:t>
      </w:r>
      <w:r>
        <w:rPr>
          <w:rFonts w:hint="eastAsia" w:ascii="宋体" w:hAnsi="宋体"/>
        </w:rPr>
        <w:t>如果分部分项工程量清单中涉及“材料（工程设备）暂估单价及调整表”中列出的材料和工程设备，将该类材料和工程设备的暂估单价计入对应的工程量清单综合单价。</w:t>
      </w:r>
    </w:p>
    <w:p w14:paraId="62F00347">
      <w:pPr>
        <w:spacing w:line="360" w:lineRule="auto"/>
        <w:ind w:firstLine="539" w:firstLineChars="257"/>
        <w:rPr>
          <w:rFonts w:ascii="宋体" w:hAnsi="宋体"/>
        </w:rPr>
      </w:pPr>
      <w:r>
        <w:rPr>
          <w:rFonts w:ascii="宋体" w:hAnsi="宋体"/>
        </w:rPr>
        <w:t>2.5.3</w:t>
      </w:r>
      <w:r>
        <w:rPr>
          <w:rFonts w:hint="eastAsia" w:ascii="宋体" w:hAnsi="宋体"/>
        </w:rPr>
        <w:t>如果分部分项工程量清单中涉及“发包人供应材料和工程设备一览表”中列出的材料和工程设备，则该类材料和工程设备供应至现场指定位置的采购供应价（含材料保管费）应计入对应的工程量清单综合单价。</w:t>
      </w:r>
    </w:p>
    <w:p w14:paraId="483692C2">
      <w:pPr>
        <w:spacing w:line="360" w:lineRule="auto"/>
        <w:ind w:firstLine="539" w:firstLineChars="257"/>
        <w:rPr>
          <w:rFonts w:ascii="宋体" w:hAnsi="宋体"/>
        </w:rPr>
      </w:pPr>
      <w:r>
        <w:rPr>
          <w:rFonts w:ascii="宋体" w:hAnsi="宋体"/>
        </w:rPr>
        <w:t xml:space="preserve">2.5.4 </w:t>
      </w:r>
      <w:r>
        <w:rPr>
          <w:rFonts w:hint="eastAsia" w:ascii="宋体" w:hAnsi="宋体"/>
        </w:rPr>
        <w:t>“分部分项工程和单价措施项目清单与计价表”所列各项目的综合单价组成中，各项目的人工、材料和机械台班消耗量、管理费费率、利润费率由投标人按照其自身情况做充分的、竞争性考虑。</w:t>
      </w:r>
    </w:p>
    <w:p w14:paraId="5F094B44">
      <w:pPr>
        <w:spacing w:line="360" w:lineRule="auto"/>
        <w:ind w:firstLine="539" w:firstLineChars="257"/>
        <w:rPr>
          <w:rFonts w:ascii="宋体" w:hAnsi="宋体"/>
        </w:rPr>
      </w:pPr>
      <w:r>
        <w:rPr>
          <w:rFonts w:ascii="宋体" w:hAnsi="宋体"/>
        </w:rPr>
        <w:t>2.5.5</w:t>
      </w:r>
      <w:r>
        <w:rPr>
          <w:rFonts w:hint="eastAsia" w:ascii="宋体" w:hAnsi="宋体"/>
        </w:rPr>
        <w:t>投标人在投标文件中提交并构成合同文件的“承包人供应主要材料和工程设备一览表”中所列的材料和工程设备的价格是指此类材料和工程设备到达施工现场指定堆放地点的落地价格，即包括采购、包装、运输、装卸、堆放、现场保管等全部费用。“承包人供应主要材料和工程设备一览表”中所列材料和工程设备的价格应与构成综合单价相应材料或工程设备的价格一致。投标文件中的“发包人供应材料和工程设备一览表”中的甲供材料的名称、规格、单价、交货方式、交货地点等必须与招标工程量清单一致。</w:t>
      </w:r>
    </w:p>
    <w:p w14:paraId="45C2B265">
      <w:pPr>
        <w:spacing w:line="360" w:lineRule="auto"/>
        <w:ind w:firstLine="359" w:firstLineChars="171"/>
        <w:rPr>
          <w:rFonts w:ascii="宋体" w:hAnsi="宋体"/>
        </w:rPr>
      </w:pPr>
      <w:r>
        <w:rPr>
          <w:rFonts w:ascii="宋体" w:hAnsi="宋体"/>
        </w:rPr>
        <w:t>2.6</w:t>
      </w:r>
      <w:r>
        <w:rPr>
          <w:rFonts w:hint="eastAsia" w:ascii="宋体" w:hAnsi="宋体"/>
        </w:rPr>
        <w:t>措施项目中的总价项目按下列要求报价：</w:t>
      </w:r>
    </w:p>
    <w:p w14:paraId="3645EB8A">
      <w:pPr>
        <w:spacing w:line="360" w:lineRule="auto"/>
        <w:ind w:firstLine="539" w:firstLineChars="257"/>
        <w:rPr>
          <w:rFonts w:ascii="宋体" w:hAnsi="宋体"/>
        </w:rPr>
      </w:pPr>
      <w:r>
        <w:rPr>
          <w:rFonts w:ascii="宋体" w:hAnsi="宋体"/>
        </w:rPr>
        <w:t xml:space="preserve">2.6.1  </w:t>
      </w:r>
      <w:r>
        <w:rPr>
          <w:rFonts w:hint="eastAsia" w:ascii="宋体" w:hAnsi="宋体"/>
        </w:rPr>
        <w:t>总价措施项目中，以费率计算的，投标单位在投标报价时自主报价；其他总价措施项目，按项计取，综合单价按实际或可能发生的费用进行计算。</w:t>
      </w:r>
    </w:p>
    <w:p w14:paraId="354EA631">
      <w:pPr>
        <w:spacing w:line="360" w:lineRule="auto"/>
        <w:ind w:firstLine="539" w:firstLineChars="257"/>
        <w:rPr>
          <w:rFonts w:ascii="宋体" w:hAnsi="宋体"/>
        </w:rPr>
      </w:pPr>
      <w:r>
        <w:rPr>
          <w:rFonts w:ascii="宋体" w:hAnsi="宋体"/>
        </w:rPr>
        <w:t xml:space="preserve">2.6.2  </w:t>
      </w:r>
      <w:r>
        <w:rPr>
          <w:rFonts w:hint="eastAsia" w:ascii="宋体" w:hAnsi="宋体"/>
        </w:rPr>
        <w:t>措施项目清单中的安全文明施工费应按国家、省级或行业建设主管部门的规定计价，不得作为竞争性费用。</w:t>
      </w:r>
    </w:p>
    <w:p w14:paraId="2C197C9D">
      <w:pPr>
        <w:spacing w:line="360" w:lineRule="auto"/>
        <w:ind w:firstLine="539" w:firstLineChars="257"/>
        <w:rPr>
          <w:rFonts w:ascii="宋体" w:hAnsi="宋体"/>
        </w:rPr>
      </w:pPr>
      <w:r>
        <w:rPr>
          <w:rFonts w:ascii="宋体" w:hAnsi="宋体"/>
        </w:rPr>
        <w:t xml:space="preserve">2.6.3  </w:t>
      </w:r>
      <w:r>
        <w:rPr>
          <w:rFonts w:hint="eastAsia" w:ascii="宋体" w:hAnsi="宋体"/>
        </w:rPr>
        <w:t>招标人提供的措施项目清单，投标人在报价时应充分、全面地阅读和理解招标文件的相关内容和约定，包括第七章“技术标准和要求”的相关约定，详实了解工程场地及其周围环境，充分考虑招标工程特点及拟定的施工方案和施工组织设计，投标人可根据工程实际与施工组织设计增补总价措施项目，但不应更改招标人已列措施项目。</w:t>
      </w:r>
    </w:p>
    <w:p w14:paraId="65175E34">
      <w:pPr>
        <w:spacing w:line="360" w:lineRule="auto"/>
        <w:ind w:firstLine="539" w:firstLineChars="257"/>
        <w:rPr>
          <w:rFonts w:ascii="宋体" w:hAnsi="宋体"/>
        </w:rPr>
      </w:pPr>
      <w:r>
        <w:rPr>
          <w:rFonts w:ascii="宋体" w:hAnsi="宋体"/>
        </w:rPr>
        <w:t xml:space="preserve">2.6.4  </w:t>
      </w:r>
      <w:r>
        <w:rPr>
          <w:rFonts w:hint="eastAsia" w:ascii="宋体" w:hAnsi="宋体"/>
        </w:rPr>
        <w:t>“总价措施项目清单与计价表”中所填写的报价金额，应全面涵盖招标文件约定的投标人中标后施工、竣工、交付本工程并维修其任何缺陷所需要履行的责任和义务的全部费用。</w:t>
      </w:r>
    </w:p>
    <w:p w14:paraId="5FFD5CE4">
      <w:pPr>
        <w:spacing w:line="360" w:lineRule="auto"/>
        <w:ind w:firstLine="359" w:firstLineChars="171"/>
        <w:rPr>
          <w:rFonts w:ascii="宋体" w:hAnsi="宋体"/>
        </w:rPr>
      </w:pPr>
      <w:r>
        <w:rPr>
          <w:rFonts w:ascii="宋体" w:hAnsi="宋体"/>
        </w:rPr>
        <w:t>2.7</w:t>
      </w:r>
      <w:r>
        <w:rPr>
          <w:rFonts w:hint="eastAsia" w:ascii="宋体" w:hAnsi="宋体"/>
        </w:rPr>
        <w:t>其他项目清单费应按下列规定报价：</w:t>
      </w:r>
    </w:p>
    <w:p w14:paraId="40C6819C">
      <w:pPr>
        <w:spacing w:line="360" w:lineRule="auto"/>
        <w:ind w:firstLine="537" w:firstLineChars="256"/>
        <w:rPr>
          <w:rFonts w:ascii="宋体" w:hAnsi="宋体"/>
        </w:rPr>
      </w:pPr>
      <w:r>
        <w:rPr>
          <w:rFonts w:ascii="宋体" w:hAnsi="宋体"/>
        </w:rPr>
        <w:t xml:space="preserve">2.7.1 </w:t>
      </w:r>
      <w:r>
        <w:rPr>
          <w:rFonts w:hint="eastAsia" w:ascii="宋体" w:hAnsi="宋体"/>
        </w:rPr>
        <w:t>暂列金额按“暂列金额明细表”中列出的金额报价，此处的暂列金额是招标人在招标文件中统一给定的，并不包括本章第</w:t>
      </w:r>
      <w:r>
        <w:rPr>
          <w:rFonts w:ascii="宋体" w:hAnsi="宋体"/>
        </w:rPr>
        <w:t>2.8.3</w:t>
      </w:r>
      <w:r>
        <w:rPr>
          <w:rFonts w:hint="eastAsia" w:ascii="宋体" w:hAnsi="宋体"/>
        </w:rPr>
        <w:t>项的计日工金额。</w:t>
      </w:r>
    </w:p>
    <w:p w14:paraId="0DF89433">
      <w:pPr>
        <w:spacing w:line="360" w:lineRule="auto"/>
        <w:ind w:firstLine="537" w:firstLineChars="256"/>
        <w:rPr>
          <w:rFonts w:ascii="宋体" w:hAnsi="宋体"/>
        </w:rPr>
      </w:pPr>
      <w:r>
        <w:rPr>
          <w:rFonts w:ascii="宋体" w:hAnsi="宋体"/>
        </w:rPr>
        <w:t xml:space="preserve">2.7.2 </w:t>
      </w:r>
      <w:r>
        <w:rPr>
          <w:rFonts w:hint="eastAsia" w:ascii="宋体" w:hAnsi="宋体"/>
        </w:rPr>
        <w:t>暂估价分为材料和工程设备暂估单价和专业工程暂估价两类。其中的材料和工程设备暂估单价按本节第</w:t>
      </w:r>
      <w:r>
        <w:rPr>
          <w:rFonts w:ascii="宋体" w:hAnsi="宋体"/>
        </w:rPr>
        <w:t>2.5.2</w:t>
      </w:r>
      <w:r>
        <w:rPr>
          <w:rFonts w:hint="eastAsia" w:ascii="宋体" w:hAnsi="宋体"/>
        </w:rPr>
        <w:t>项的报价原则进入分部分项工程量清单之综合单价，不在其他项目清单中汇总；专业工程暂估价直接按“专业工程暂估价及结算价表”中列出的金额和本节第</w:t>
      </w:r>
      <w:r>
        <w:rPr>
          <w:rFonts w:ascii="宋体" w:hAnsi="宋体"/>
        </w:rPr>
        <w:t>3.3.3</w:t>
      </w:r>
      <w:r>
        <w:rPr>
          <w:rFonts w:hint="eastAsia" w:ascii="宋体" w:hAnsi="宋体"/>
        </w:rPr>
        <w:t>项的报价原则计入其他项目清单报价。</w:t>
      </w:r>
    </w:p>
    <w:p w14:paraId="358226B9">
      <w:pPr>
        <w:spacing w:line="360" w:lineRule="auto"/>
        <w:ind w:firstLine="537" w:firstLineChars="256"/>
        <w:rPr>
          <w:rFonts w:ascii="宋体" w:hAnsi="宋体"/>
        </w:rPr>
      </w:pPr>
      <w:r>
        <w:rPr>
          <w:rFonts w:ascii="宋体" w:hAnsi="宋体"/>
        </w:rPr>
        <w:t xml:space="preserve">2.7.3 </w:t>
      </w:r>
      <w:r>
        <w:rPr>
          <w:rFonts w:hint="eastAsia" w:ascii="宋体" w:hAnsi="宋体"/>
        </w:rPr>
        <w:t>计日工按“计日工表”中列出的项目和估算数量，自主确定综合单价并计算计日工金额。。</w:t>
      </w:r>
    </w:p>
    <w:p w14:paraId="0F722A7C">
      <w:pPr>
        <w:spacing w:line="360" w:lineRule="auto"/>
        <w:ind w:firstLine="537" w:firstLineChars="256"/>
        <w:rPr>
          <w:rFonts w:ascii="宋体" w:hAnsi="宋体"/>
        </w:rPr>
      </w:pPr>
      <w:r>
        <w:rPr>
          <w:rFonts w:ascii="宋体" w:hAnsi="宋体"/>
        </w:rPr>
        <w:t xml:space="preserve">2.7.4 </w:t>
      </w:r>
      <w:r>
        <w:rPr>
          <w:rFonts w:hint="eastAsia" w:ascii="宋体" w:hAnsi="宋体"/>
        </w:rPr>
        <w:t>总承包服务费根据招标文件中列出的内容和要求，按“总承包服务费计价表”所列格式自主报价。</w:t>
      </w:r>
    </w:p>
    <w:p w14:paraId="2F49D600">
      <w:pPr>
        <w:spacing w:line="360" w:lineRule="auto"/>
        <w:ind w:firstLine="359" w:firstLineChars="171"/>
        <w:rPr>
          <w:rFonts w:ascii="宋体" w:hAnsi="宋体"/>
        </w:rPr>
      </w:pPr>
      <w:r>
        <w:rPr>
          <w:rFonts w:ascii="宋体" w:hAnsi="宋体"/>
        </w:rPr>
        <w:t xml:space="preserve">2.8 </w:t>
      </w:r>
      <w:r>
        <w:rPr>
          <w:rFonts w:hint="eastAsia" w:ascii="宋体" w:hAnsi="宋体"/>
        </w:rPr>
        <w:t>规费和税金应按“规费、税金项目计价表”所列项目并根据国家、省级或行业建设主管部门的有关规定列项和计算，不得作为竞争性费用。</w:t>
      </w:r>
    </w:p>
    <w:p w14:paraId="04669C6F">
      <w:pPr>
        <w:spacing w:line="360" w:lineRule="auto"/>
        <w:ind w:firstLine="359" w:firstLineChars="171"/>
        <w:rPr>
          <w:rFonts w:ascii="宋体" w:hAnsi="宋体"/>
        </w:rPr>
      </w:pPr>
      <w:r>
        <w:rPr>
          <w:rFonts w:ascii="宋体" w:hAnsi="宋体"/>
        </w:rPr>
        <w:t xml:space="preserve">2.9 </w:t>
      </w:r>
      <w:r>
        <w:rPr>
          <w:rFonts w:hint="eastAsia" w:ascii="宋体" w:hAnsi="宋体"/>
        </w:rPr>
        <w:t>除招标文件有强制性规定以及不可竞争部分以外，投标报价由投标人自主确定，但不得低于成本。</w:t>
      </w:r>
    </w:p>
    <w:p w14:paraId="60DA528D">
      <w:pPr>
        <w:spacing w:line="360" w:lineRule="auto"/>
        <w:ind w:firstLine="359" w:firstLineChars="171"/>
        <w:rPr>
          <w:rFonts w:ascii="宋体" w:hAnsi="宋体"/>
        </w:rPr>
      </w:pPr>
      <w:r>
        <w:rPr>
          <w:rFonts w:ascii="宋体" w:hAnsi="宋体"/>
        </w:rPr>
        <w:t xml:space="preserve">2.10 </w:t>
      </w:r>
      <w:r>
        <w:rPr>
          <w:rFonts w:hint="eastAsia" w:ascii="宋体" w:hAnsi="宋体"/>
        </w:rPr>
        <w:t>工程量清单计价所涉及的生产资源</w:t>
      </w:r>
      <w:r>
        <w:rPr>
          <w:rFonts w:ascii="宋体" w:hAnsi="宋体"/>
        </w:rPr>
        <w:t>(</w:t>
      </w:r>
      <w:r>
        <w:rPr>
          <w:rFonts w:hint="eastAsia" w:ascii="宋体" w:hAnsi="宋体"/>
        </w:rPr>
        <w:t>包括各类人工、材料、工程设备、施工设备、临时设施、临时用水、临时用电等</w:t>
      </w:r>
      <w:r>
        <w:rPr>
          <w:rFonts w:ascii="宋体" w:hAnsi="宋体"/>
        </w:rPr>
        <w:t>)</w:t>
      </w:r>
      <w:r>
        <w:rPr>
          <w:rFonts w:hint="eastAsia" w:ascii="宋体" w:hAnsi="宋体"/>
        </w:rPr>
        <w:t>的投标价格，应根据自身的信息渠道和采购渠道，分析其市场价格水平并判断其整个施工周期内的变化趋势，体现投标人自身的管理水平、技术水平和综合实力。</w:t>
      </w:r>
    </w:p>
    <w:p w14:paraId="246E208D">
      <w:pPr>
        <w:spacing w:line="360" w:lineRule="auto"/>
        <w:ind w:firstLine="359" w:firstLineChars="171"/>
        <w:rPr>
          <w:rFonts w:ascii="宋体" w:hAnsi="宋体"/>
        </w:rPr>
      </w:pPr>
      <w:r>
        <w:rPr>
          <w:rFonts w:ascii="宋体" w:hAnsi="宋体"/>
        </w:rPr>
        <w:t xml:space="preserve">2.11 </w:t>
      </w:r>
      <w:r>
        <w:rPr>
          <w:rFonts w:hint="eastAsia" w:ascii="宋体" w:hAnsi="宋体"/>
        </w:rPr>
        <w:t>管理费应由投标人在保证不低于其成本的基础上做竞争性考虑；利润由投标人根据自身情况和综合实力做竞争性考虑。</w:t>
      </w:r>
    </w:p>
    <w:p w14:paraId="260A617E">
      <w:pPr>
        <w:spacing w:line="360" w:lineRule="auto"/>
        <w:ind w:firstLine="359" w:firstLineChars="171"/>
        <w:rPr>
          <w:rFonts w:ascii="宋体" w:hAnsi="宋体"/>
        </w:rPr>
      </w:pPr>
      <w:r>
        <w:rPr>
          <w:rFonts w:ascii="宋体" w:hAnsi="宋体"/>
        </w:rPr>
        <w:t xml:space="preserve">2.12 </w:t>
      </w:r>
      <w:r>
        <w:rPr>
          <w:rFonts w:hint="eastAsia" w:ascii="宋体" w:hAnsi="宋体"/>
        </w:rPr>
        <w:t>投标报价中应考虑招标文件中要求投标人承担的风险范围以及相关的费用。</w:t>
      </w:r>
    </w:p>
    <w:p w14:paraId="74D20984">
      <w:pPr>
        <w:spacing w:line="360" w:lineRule="auto"/>
        <w:ind w:firstLine="359" w:firstLineChars="171"/>
        <w:rPr>
          <w:rFonts w:ascii="宋体" w:hAnsi="宋体"/>
        </w:rPr>
      </w:pPr>
      <w:r>
        <w:rPr>
          <w:rFonts w:ascii="宋体" w:hAnsi="宋体"/>
        </w:rPr>
        <w:t xml:space="preserve">2.13 </w:t>
      </w:r>
      <w:r>
        <w:rPr>
          <w:rFonts w:hint="eastAsia" w:ascii="宋体" w:hAnsi="宋体"/>
        </w:rPr>
        <w:t>投标总价为投标人在投标文件中提出的各项支付金额的总和，为实施、完成招标工程并修补缺陷以及履行招标文件中约定的风险范围内的所有责任和义务所发生的全部费用。</w:t>
      </w:r>
    </w:p>
    <w:p w14:paraId="7070FDAE">
      <w:pPr>
        <w:spacing w:line="360" w:lineRule="auto"/>
        <w:ind w:firstLine="420" w:firstLineChars="200"/>
        <w:rPr>
          <w:rFonts w:ascii="宋体" w:hAnsi="宋体"/>
        </w:rPr>
      </w:pPr>
      <w:r>
        <w:rPr>
          <w:rFonts w:ascii="宋体" w:hAnsi="宋体"/>
        </w:rPr>
        <w:t xml:space="preserve">2.14 </w:t>
      </w:r>
      <w:r>
        <w:rPr>
          <w:rFonts w:hint="eastAsia" w:ascii="宋体" w:hAnsi="宋体"/>
        </w:rPr>
        <w:t>有关投标报价的其他要求：/</w:t>
      </w:r>
    </w:p>
    <w:p w14:paraId="2531044A">
      <w:pPr>
        <w:keepNext/>
        <w:keepLines/>
        <w:spacing w:line="360" w:lineRule="auto"/>
        <w:outlineLvl w:val="2"/>
        <w:rPr>
          <w:rFonts w:ascii="宋体" w:hAnsi="宋体"/>
          <w:b/>
          <w:bCs/>
          <w:kern w:val="0"/>
        </w:rPr>
      </w:pPr>
      <w:bookmarkStart w:id="151" w:name="_Toc498006751"/>
      <w:bookmarkStart w:id="152" w:name="_Toc473034408"/>
      <w:r>
        <w:rPr>
          <w:rFonts w:ascii="宋体" w:hAnsi="宋体"/>
          <w:b/>
          <w:bCs/>
          <w:kern w:val="0"/>
        </w:rPr>
        <w:t>3</w:t>
      </w:r>
      <w:r>
        <w:rPr>
          <w:rFonts w:hint="eastAsia" w:ascii="宋体" w:hAnsi="宋体"/>
          <w:b/>
          <w:bCs/>
          <w:kern w:val="0"/>
        </w:rPr>
        <w:t>．其他说明</w:t>
      </w:r>
      <w:bookmarkEnd w:id="151"/>
      <w:bookmarkEnd w:id="152"/>
    </w:p>
    <w:p w14:paraId="593BA917">
      <w:pPr>
        <w:spacing w:line="360" w:lineRule="auto"/>
        <w:ind w:firstLine="525" w:firstLineChars="250"/>
        <w:rPr>
          <w:rFonts w:ascii="宋体" w:hAnsi="宋体"/>
        </w:rPr>
      </w:pPr>
      <w:r>
        <w:rPr>
          <w:rFonts w:ascii="宋体" w:hAnsi="宋体"/>
        </w:rPr>
        <w:t>3.1</w:t>
      </w:r>
      <w:r>
        <w:rPr>
          <w:rFonts w:hint="eastAsia" w:ascii="宋体" w:hAnsi="宋体"/>
        </w:rPr>
        <w:t>词语和定义</w:t>
      </w:r>
    </w:p>
    <w:p w14:paraId="1CC3CC8C">
      <w:pPr>
        <w:spacing w:line="360" w:lineRule="auto"/>
        <w:ind w:firstLine="535" w:firstLineChars="255"/>
        <w:rPr>
          <w:rFonts w:ascii="宋体" w:hAnsi="宋体"/>
        </w:rPr>
      </w:pPr>
      <w:r>
        <w:rPr>
          <w:rFonts w:ascii="宋体" w:hAnsi="宋体"/>
        </w:rPr>
        <w:t xml:space="preserve">3.1.1 </w:t>
      </w:r>
      <w:r>
        <w:rPr>
          <w:rFonts w:hint="eastAsia" w:ascii="宋体" w:hAnsi="宋体"/>
        </w:rPr>
        <w:t>同义词语</w:t>
      </w:r>
    </w:p>
    <w:p w14:paraId="4314373E">
      <w:pPr>
        <w:spacing w:line="360" w:lineRule="auto"/>
        <w:ind w:firstLine="535" w:firstLineChars="255"/>
        <w:rPr>
          <w:rFonts w:ascii="宋体" w:hAnsi="宋体"/>
        </w:rPr>
      </w:pPr>
      <w:r>
        <w:rPr>
          <w:rFonts w:hint="eastAsia" w:ascii="宋体" w:hAnsi="宋体"/>
        </w:rPr>
        <w:t>本章中使用的词语“招标人”和“投标人”分别与合同条款中定义的“发包人”和“承包人”同义。</w:t>
      </w:r>
    </w:p>
    <w:p w14:paraId="77170DA9">
      <w:pPr>
        <w:spacing w:line="360" w:lineRule="auto"/>
        <w:ind w:firstLine="525" w:firstLineChars="250"/>
        <w:rPr>
          <w:rFonts w:ascii="宋体" w:hAnsi="宋体"/>
        </w:rPr>
      </w:pPr>
      <w:r>
        <w:rPr>
          <w:rFonts w:ascii="宋体" w:hAnsi="宋体"/>
        </w:rPr>
        <w:t>3.2</w:t>
      </w:r>
      <w:r>
        <w:rPr>
          <w:rFonts w:hint="eastAsia" w:ascii="宋体" w:hAnsi="宋体"/>
        </w:rPr>
        <w:t>工程量差异调整</w:t>
      </w:r>
    </w:p>
    <w:p w14:paraId="7010D7BF">
      <w:pPr>
        <w:spacing w:line="360" w:lineRule="auto"/>
        <w:ind w:firstLine="535" w:firstLineChars="255"/>
        <w:rPr>
          <w:rFonts w:ascii="宋体" w:hAnsi="宋体"/>
        </w:rPr>
      </w:pPr>
      <w:r>
        <w:rPr>
          <w:rFonts w:ascii="宋体" w:hAnsi="宋体"/>
        </w:rPr>
        <w:t xml:space="preserve">3.2.1 </w:t>
      </w:r>
      <w:r>
        <w:rPr>
          <w:rFonts w:hint="eastAsia" w:ascii="宋体" w:hAnsi="宋体"/>
        </w:rPr>
        <w:t>工程量清单中的项目列项、特征描述、工作内容以及“分部分项工程和单价措施项目清单与计价表”中附带的工程量都不应理解为是对承包</w:t>
      </w:r>
      <w:r>
        <w:rPr>
          <w:rFonts w:ascii="宋体" w:hAnsi="宋体"/>
        </w:rPr>
        <w:t>(</w:t>
      </w:r>
      <w:r>
        <w:rPr>
          <w:rFonts w:hint="eastAsia" w:ascii="宋体" w:hAnsi="宋体"/>
        </w:rPr>
        <w:t>招标</w:t>
      </w:r>
      <w:r>
        <w:rPr>
          <w:rFonts w:ascii="宋体" w:hAnsi="宋体"/>
        </w:rPr>
        <w:t>)</w:t>
      </w:r>
      <w:r>
        <w:rPr>
          <w:rFonts w:hint="eastAsia" w:ascii="宋体" w:hAnsi="宋体"/>
        </w:rPr>
        <w:t>范围以及合同工作内容的唯一的、最终的或全部的定义。</w:t>
      </w:r>
    </w:p>
    <w:p w14:paraId="0B1798BC">
      <w:pPr>
        <w:spacing w:line="360" w:lineRule="auto"/>
        <w:ind w:firstLine="535" w:firstLineChars="255"/>
        <w:rPr>
          <w:rFonts w:ascii="宋体" w:hAnsi="宋体"/>
        </w:rPr>
      </w:pPr>
      <w:r>
        <w:rPr>
          <w:rFonts w:ascii="宋体" w:hAnsi="宋体"/>
        </w:rPr>
        <w:t xml:space="preserve">3.2.2 </w:t>
      </w:r>
      <w:r>
        <w:rPr>
          <w:rFonts w:hint="eastAsia" w:ascii="宋体" w:hAnsi="宋体"/>
        </w:rPr>
        <w:t>投标人可对招标人提供的工程量清单进行复核。这种复核包括对招标人提供的工程量清单中的项目编码、项目名称、项目特征描述、计量单位、工程量的准确性以及可能存在的任何书写、打印错误进行检查和复核，也包括对“分部分项工程和单价措施项目清单与计价表”中每个工作项目的工程量进行重新计算和校核。如果投标人经过检查和复核以后认为招标人提供的工程量清单存在差异，则投标人按第二章</w:t>
      </w:r>
      <w:r>
        <w:rPr>
          <w:rFonts w:ascii="宋体" w:hAnsi="宋体"/>
        </w:rPr>
        <w:t>2.4</w:t>
      </w:r>
      <w:r>
        <w:rPr>
          <w:rFonts w:hint="eastAsia" w:ascii="宋体" w:hAnsi="宋体"/>
        </w:rPr>
        <w:t>款规定的程序向招标人提出异议。</w:t>
      </w:r>
    </w:p>
    <w:p w14:paraId="3B77D10F">
      <w:pPr>
        <w:spacing w:line="360" w:lineRule="auto"/>
        <w:ind w:firstLine="535" w:firstLineChars="255"/>
        <w:rPr>
          <w:rFonts w:ascii="宋体" w:hAnsi="宋体"/>
        </w:rPr>
      </w:pPr>
      <w:r>
        <w:rPr>
          <w:rFonts w:ascii="宋体" w:hAnsi="宋体"/>
        </w:rPr>
        <w:t xml:space="preserve">3.2.3 </w:t>
      </w:r>
      <w:r>
        <w:rPr>
          <w:rFonts w:hint="eastAsia" w:ascii="宋体" w:hAnsi="宋体"/>
        </w:rPr>
        <w:t>如果招标人在检查投标人根据上文第</w:t>
      </w:r>
      <w:r>
        <w:rPr>
          <w:rFonts w:ascii="宋体" w:hAnsi="宋体"/>
        </w:rPr>
        <w:t>3.2.2</w:t>
      </w:r>
      <w:r>
        <w:rPr>
          <w:rFonts w:hint="eastAsia" w:ascii="宋体" w:hAnsi="宋体"/>
        </w:rPr>
        <w:t>项提交的工程量差异问题后认为没有必要对工程量清单进行补充和</w:t>
      </w:r>
      <w:r>
        <w:rPr>
          <w:rFonts w:ascii="宋体" w:hAnsi="宋体"/>
        </w:rPr>
        <w:t>(</w:t>
      </w:r>
      <w:r>
        <w:rPr>
          <w:rFonts w:hint="eastAsia" w:ascii="宋体" w:hAnsi="宋体"/>
        </w:rPr>
        <w:t>或</w:t>
      </w:r>
      <w:r>
        <w:rPr>
          <w:rFonts w:ascii="宋体" w:hAnsi="宋体"/>
        </w:rPr>
        <w:t>)</w:t>
      </w:r>
      <w:r>
        <w:rPr>
          <w:rFonts w:hint="eastAsia" w:ascii="宋体" w:hAnsi="宋体"/>
        </w:rPr>
        <w:t>修改，或者招标人根据上文第</w:t>
      </w:r>
      <w:r>
        <w:rPr>
          <w:rFonts w:ascii="宋体" w:hAnsi="宋体"/>
        </w:rPr>
        <w:t>3.2.2</w:t>
      </w:r>
      <w:r>
        <w:rPr>
          <w:rFonts w:hint="eastAsia" w:ascii="宋体" w:hAnsi="宋体"/>
        </w:rPr>
        <w:t>项对工程量清单进行了补充和</w:t>
      </w:r>
      <w:r>
        <w:rPr>
          <w:rFonts w:ascii="宋体" w:hAnsi="宋体"/>
        </w:rPr>
        <w:t>(</w:t>
      </w:r>
      <w:r>
        <w:rPr>
          <w:rFonts w:hint="eastAsia" w:ascii="宋体" w:hAnsi="宋体"/>
        </w:rPr>
        <w:t>或</w:t>
      </w:r>
      <w:r>
        <w:rPr>
          <w:rFonts w:ascii="宋体" w:hAnsi="宋体"/>
        </w:rPr>
        <w:t>)</w:t>
      </w:r>
      <w:r>
        <w:rPr>
          <w:rFonts w:hint="eastAsia" w:ascii="宋体" w:hAnsi="宋体"/>
        </w:rPr>
        <w:t>修改，但投标人认为工程量清单中的工程量依然存在差异，则此类差异不再提交招标人答疑和修正，而是直接按招标人提供的工程量清单</w:t>
      </w:r>
      <w:r>
        <w:rPr>
          <w:rFonts w:ascii="宋体" w:hAnsi="宋体"/>
        </w:rPr>
        <w:t>(</w:t>
      </w:r>
      <w:r>
        <w:rPr>
          <w:rFonts w:hint="eastAsia" w:ascii="宋体" w:hAnsi="宋体"/>
        </w:rPr>
        <w:t>包括招标人可能的补充和</w:t>
      </w:r>
      <w:r>
        <w:rPr>
          <w:rFonts w:ascii="宋体" w:hAnsi="宋体"/>
        </w:rPr>
        <w:t>(</w:t>
      </w:r>
      <w:r>
        <w:rPr>
          <w:rFonts w:hint="eastAsia" w:ascii="宋体" w:hAnsi="宋体"/>
        </w:rPr>
        <w:t>或</w:t>
      </w:r>
      <w:r>
        <w:rPr>
          <w:rFonts w:ascii="宋体" w:hAnsi="宋体"/>
        </w:rPr>
        <w:t>)</w:t>
      </w:r>
      <w:r>
        <w:rPr>
          <w:rFonts w:hint="eastAsia" w:ascii="宋体" w:hAnsi="宋体"/>
        </w:rPr>
        <w:t>修改</w:t>
      </w:r>
      <w:r>
        <w:rPr>
          <w:rFonts w:ascii="宋体" w:hAnsi="宋体"/>
        </w:rPr>
        <w:t>)</w:t>
      </w:r>
      <w:r>
        <w:rPr>
          <w:rFonts w:hint="eastAsia" w:ascii="宋体" w:hAnsi="宋体"/>
        </w:rPr>
        <w:t>进行投标报价。投标人在按照工程量清单进行报价时，除按照本节</w:t>
      </w:r>
      <w:r>
        <w:rPr>
          <w:rFonts w:ascii="宋体" w:hAnsi="宋体"/>
        </w:rPr>
        <w:t>2.7.3</w:t>
      </w:r>
      <w:r>
        <w:rPr>
          <w:rFonts w:hint="eastAsia" w:ascii="宋体" w:hAnsi="宋体"/>
        </w:rPr>
        <w:t>项要求对招标人提供的措施项目清单项目增补外，不得改变</w:t>
      </w:r>
      <w:r>
        <w:rPr>
          <w:rFonts w:ascii="宋体" w:hAnsi="宋体"/>
        </w:rPr>
        <w:t>(</w:t>
      </w:r>
      <w:r>
        <w:rPr>
          <w:rFonts w:hint="eastAsia" w:ascii="宋体" w:hAnsi="宋体"/>
        </w:rPr>
        <w:t>包括对工程量清单项目的项目名称、项目特征描述、计量单位以及工程量的任何修改、增加或减少</w:t>
      </w:r>
      <w:r>
        <w:rPr>
          <w:rFonts w:ascii="宋体" w:hAnsi="宋体"/>
        </w:rPr>
        <w:t>)</w:t>
      </w:r>
      <w:r>
        <w:rPr>
          <w:rFonts w:hint="eastAsia" w:ascii="宋体" w:hAnsi="宋体"/>
        </w:rPr>
        <w:t>招标人提供的分部分项工程量清单和其他项目清单。即使按照图纸和招标范围的约定并不存在的项目，只要在招标人提供的分部分项工程量清单中已经列明，投标人都需要对其报价，并纳入投标总价的计算。</w:t>
      </w:r>
    </w:p>
    <w:p w14:paraId="0809E719">
      <w:pPr>
        <w:spacing w:line="360" w:lineRule="auto"/>
        <w:ind w:firstLine="359" w:firstLineChars="171"/>
        <w:rPr>
          <w:rFonts w:ascii="宋体" w:hAnsi="宋体"/>
        </w:rPr>
      </w:pPr>
      <w:r>
        <w:rPr>
          <w:rFonts w:ascii="宋体" w:hAnsi="宋体"/>
        </w:rPr>
        <w:t>3.3</w:t>
      </w:r>
      <w:r>
        <w:rPr>
          <w:rFonts w:hint="eastAsia" w:ascii="宋体" w:hAnsi="宋体"/>
        </w:rPr>
        <w:t>暂列金额和暂估价</w:t>
      </w:r>
    </w:p>
    <w:p w14:paraId="61A5181D">
      <w:pPr>
        <w:spacing w:line="360" w:lineRule="auto"/>
        <w:ind w:firstLine="315" w:firstLineChars="150"/>
        <w:rPr>
          <w:rFonts w:ascii="宋体" w:hAnsi="宋体"/>
        </w:rPr>
      </w:pPr>
      <w:r>
        <w:rPr>
          <w:rFonts w:ascii="宋体" w:hAnsi="宋体"/>
        </w:rPr>
        <w:t xml:space="preserve">3.3.1 </w:t>
      </w:r>
      <w:r>
        <w:rPr>
          <w:rFonts w:hint="eastAsia" w:ascii="宋体" w:hAnsi="宋体"/>
        </w:rPr>
        <w:t>“暂列金额明细表”中所列暂列金额</w:t>
      </w:r>
      <w:r>
        <w:rPr>
          <w:rFonts w:ascii="宋体" w:hAnsi="宋体"/>
        </w:rPr>
        <w:t>(</w:t>
      </w:r>
      <w:r>
        <w:rPr>
          <w:rFonts w:hint="eastAsia" w:ascii="宋体" w:hAnsi="宋体"/>
        </w:rPr>
        <w:t>不包括计日工金额</w:t>
      </w:r>
      <w:r>
        <w:rPr>
          <w:rFonts w:ascii="宋体" w:hAnsi="宋体"/>
        </w:rPr>
        <w:t>)</w:t>
      </w:r>
      <w:r>
        <w:rPr>
          <w:rFonts w:hint="eastAsia" w:ascii="宋体" w:hAnsi="宋体"/>
        </w:rPr>
        <w:t>中已经包含与其对应的管理费、利润。投标人应按本招标文件规定将此类暂列金额直接纳入其他项目清单的投标价格中。</w:t>
      </w:r>
    </w:p>
    <w:p w14:paraId="7D49E346">
      <w:pPr>
        <w:spacing w:line="360" w:lineRule="auto"/>
        <w:ind w:firstLine="535" w:firstLineChars="255"/>
        <w:rPr>
          <w:rFonts w:ascii="宋体" w:hAnsi="宋体"/>
        </w:rPr>
      </w:pPr>
      <w:r>
        <w:rPr>
          <w:rFonts w:ascii="宋体" w:hAnsi="宋体"/>
        </w:rPr>
        <w:t xml:space="preserve">3.3.3 </w:t>
      </w:r>
      <w:r>
        <w:rPr>
          <w:rFonts w:hint="eastAsia" w:ascii="宋体" w:hAnsi="宋体"/>
        </w:rPr>
        <w:t>专业工程暂估价及结算价表中所列的专业工程暂估价已经包含与其对应的管理费、利润，但不含规费和税金。投标人应按本招标文件规定将此类暂估价直接纳入其他项目清单的投标价格中。</w:t>
      </w:r>
    </w:p>
    <w:p w14:paraId="5A1A67F7">
      <w:pPr>
        <w:spacing w:line="360" w:lineRule="exact"/>
        <w:ind w:left="4" w:leftChars="2" w:firstLine="359" w:firstLineChars="171"/>
        <w:rPr>
          <w:rFonts w:ascii="宋体"/>
        </w:rPr>
      </w:pPr>
    </w:p>
    <w:p w14:paraId="150B4D49">
      <w:pPr>
        <w:spacing w:line="360" w:lineRule="exact"/>
        <w:ind w:left="4" w:leftChars="2" w:firstLine="359" w:firstLineChars="171"/>
        <w:rPr>
          <w:rFonts w:ascii="宋体"/>
        </w:rPr>
      </w:pPr>
    </w:p>
    <w:p w14:paraId="57DC36B3">
      <w:pPr>
        <w:spacing w:line="360" w:lineRule="exact"/>
        <w:ind w:left="4" w:leftChars="2" w:firstLine="359" w:firstLineChars="171"/>
        <w:rPr>
          <w:rFonts w:ascii="宋体"/>
        </w:rPr>
      </w:pPr>
    </w:p>
    <w:p w14:paraId="0B52F1BA">
      <w:pPr>
        <w:spacing w:line="360" w:lineRule="exact"/>
        <w:ind w:left="4" w:leftChars="2" w:firstLine="359" w:firstLineChars="171"/>
        <w:rPr>
          <w:rFonts w:ascii="宋体"/>
        </w:rPr>
      </w:pPr>
    </w:p>
    <w:p w14:paraId="3FBAEB78">
      <w:pPr>
        <w:spacing w:line="360" w:lineRule="exact"/>
        <w:ind w:left="4" w:leftChars="2" w:firstLine="359" w:firstLineChars="171"/>
        <w:rPr>
          <w:rFonts w:ascii="宋体"/>
        </w:rPr>
      </w:pPr>
    </w:p>
    <w:p w14:paraId="0BD0C0B5">
      <w:pPr>
        <w:spacing w:line="360" w:lineRule="exact"/>
        <w:ind w:left="4" w:leftChars="2" w:firstLine="359" w:firstLineChars="171"/>
        <w:rPr>
          <w:rFonts w:ascii="宋体"/>
        </w:rPr>
      </w:pPr>
    </w:p>
    <w:p w14:paraId="31E3D20E">
      <w:pPr>
        <w:spacing w:line="360" w:lineRule="exact"/>
        <w:ind w:left="4" w:leftChars="2" w:firstLine="359" w:firstLineChars="171"/>
        <w:rPr>
          <w:rFonts w:ascii="宋体"/>
        </w:rPr>
      </w:pPr>
    </w:p>
    <w:p w14:paraId="47177AFF">
      <w:pPr>
        <w:spacing w:line="360" w:lineRule="exact"/>
        <w:ind w:left="4" w:leftChars="2" w:firstLine="359" w:firstLineChars="171"/>
        <w:rPr>
          <w:rFonts w:ascii="宋体"/>
        </w:rPr>
      </w:pPr>
    </w:p>
    <w:p w14:paraId="555A6639">
      <w:pPr>
        <w:spacing w:line="360" w:lineRule="exact"/>
        <w:ind w:left="4" w:leftChars="2" w:firstLine="359" w:firstLineChars="171"/>
        <w:rPr>
          <w:rFonts w:ascii="宋体"/>
        </w:rPr>
      </w:pPr>
    </w:p>
    <w:p w14:paraId="526BA60C">
      <w:pPr>
        <w:spacing w:line="360" w:lineRule="exact"/>
        <w:ind w:left="4" w:leftChars="2" w:firstLine="359" w:firstLineChars="171"/>
        <w:rPr>
          <w:rFonts w:ascii="宋体"/>
        </w:rPr>
      </w:pPr>
    </w:p>
    <w:p w14:paraId="5BDE7CAE">
      <w:pPr>
        <w:spacing w:line="360" w:lineRule="exact"/>
        <w:ind w:left="4" w:leftChars="2" w:firstLine="359" w:firstLineChars="171"/>
        <w:rPr>
          <w:rFonts w:ascii="宋体"/>
        </w:rPr>
      </w:pPr>
    </w:p>
    <w:p w14:paraId="41DBCDDC">
      <w:pPr>
        <w:spacing w:line="360" w:lineRule="exact"/>
        <w:ind w:left="4" w:leftChars="2" w:firstLine="359" w:firstLineChars="171"/>
        <w:rPr>
          <w:rFonts w:ascii="宋体"/>
        </w:rPr>
      </w:pPr>
    </w:p>
    <w:p w14:paraId="4AF27AC9">
      <w:pPr>
        <w:spacing w:line="360" w:lineRule="exact"/>
        <w:ind w:left="4" w:leftChars="2" w:firstLine="359" w:firstLineChars="171"/>
        <w:rPr>
          <w:rFonts w:ascii="宋体"/>
        </w:rPr>
      </w:pPr>
    </w:p>
    <w:p w14:paraId="20307922">
      <w:pPr>
        <w:pStyle w:val="2"/>
        <w:spacing w:line="440" w:lineRule="exact"/>
        <w:jc w:val="center"/>
        <w:rPr>
          <w:rFonts w:ascii="宋体" w:hAnsi="宋体" w:eastAsia="宋体"/>
        </w:rPr>
      </w:pPr>
      <w:bookmarkStart w:id="153" w:name="_Toc498006753"/>
      <w:bookmarkStart w:id="154" w:name="_Toc358569767"/>
      <w:bookmarkStart w:id="155" w:name="_Toc389065348"/>
      <w:r>
        <w:rPr>
          <w:rFonts w:hint="eastAsia" w:ascii="宋体" w:hAnsi="宋体" w:eastAsia="宋体" w:cs="宋体"/>
        </w:rPr>
        <w:t>第六章  技术标准和要求</w:t>
      </w:r>
      <w:bookmarkEnd w:id="153"/>
      <w:bookmarkEnd w:id="154"/>
      <w:bookmarkEnd w:id="155"/>
    </w:p>
    <w:p w14:paraId="138D62BC">
      <w:pPr>
        <w:keepNext/>
        <w:keepLines/>
        <w:shd w:val="clear" w:color="auto" w:fill="FFFFFF"/>
        <w:spacing w:line="480" w:lineRule="atLeast"/>
        <w:outlineLvl w:val="1"/>
        <w:rPr>
          <w:rFonts w:ascii="宋体" w:hAnsi="宋体"/>
          <w:b/>
          <w:bCs/>
          <w:color w:val="000000"/>
          <w:sz w:val="24"/>
          <w:szCs w:val="24"/>
        </w:rPr>
      </w:pPr>
      <w:bookmarkStart w:id="156" w:name="_Toc173558684"/>
      <w:bookmarkStart w:id="157" w:name="_Toc158458008"/>
      <w:bookmarkStart w:id="158" w:name="_Toc163270989"/>
      <w:r>
        <w:rPr>
          <w:rFonts w:ascii="宋体" w:hAnsi="宋体"/>
          <w:color w:val="000000"/>
          <w:sz w:val="24"/>
          <w:szCs w:val="24"/>
        </w:rPr>
        <w:t>一、本工程采用的计价规范</w:t>
      </w:r>
    </w:p>
    <w:p w14:paraId="2BE6200B">
      <w:pPr>
        <w:shd w:val="clear" w:color="auto" w:fill="FFFFFF"/>
        <w:spacing w:line="480" w:lineRule="atLeast"/>
        <w:ind w:firstLine="480" w:firstLineChars="200"/>
        <w:rPr>
          <w:rFonts w:ascii="宋体" w:hAnsi="宋体"/>
          <w:color w:val="000000"/>
          <w:sz w:val="24"/>
          <w:szCs w:val="24"/>
        </w:rPr>
      </w:pPr>
      <w:bookmarkStart w:id="159" w:name="_Toc499790107"/>
      <w:bookmarkEnd w:id="159"/>
      <w:bookmarkStart w:id="160" w:name="_Toc430274634"/>
      <w:bookmarkEnd w:id="160"/>
      <w:bookmarkStart w:id="161" w:name="_Toc302327448"/>
      <w:bookmarkEnd w:id="161"/>
      <w:r>
        <w:rPr>
          <w:rFonts w:hint="eastAsia" w:ascii="宋体" w:hAnsi="宋体"/>
          <w:color w:val="000000"/>
          <w:sz w:val="24"/>
          <w:szCs w:val="24"/>
        </w:rPr>
        <w:t>1.《建设工程工程量清单计价规范》</w:t>
      </w:r>
      <w:r>
        <w:rPr>
          <w:rFonts w:ascii="宋体" w:hAnsi="宋体"/>
          <w:color w:val="000000"/>
          <w:sz w:val="24"/>
          <w:szCs w:val="24"/>
        </w:rPr>
        <w:t xml:space="preserve"> (GB50500-2013)</w:t>
      </w:r>
      <w:r>
        <w:rPr>
          <w:rFonts w:hint="eastAsia" w:ascii="宋体" w:hAnsi="宋体"/>
          <w:color w:val="000000"/>
          <w:sz w:val="24"/>
          <w:szCs w:val="24"/>
        </w:rPr>
        <w:t xml:space="preserve"> 及其9本计算规范</w:t>
      </w:r>
    </w:p>
    <w:p w14:paraId="40D6C408">
      <w:pPr>
        <w:shd w:val="clear" w:color="auto" w:fill="FFFFFF"/>
        <w:spacing w:line="480" w:lineRule="atLeast"/>
        <w:ind w:firstLine="480" w:firstLineChars="200"/>
        <w:rPr>
          <w:rFonts w:ascii="宋体" w:hAnsi="宋体"/>
          <w:color w:val="000000"/>
          <w:sz w:val="24"/>
          <w:szCs w:val="24"/>
        </w:rPr>
      </w:pPr>
      <w:r>
        <w:rPr>
          <w:rFonts w:hint="eastAsia" w:ascii="宋体" w:hAnsi="宋体"/>
          <w:color w:val="000000"/>
          <w:sz w:val="24"/>
          <w:szCs w:val="24"/>
        </w:rPr>
        <w:t>2.</w:t>
      </w:r>
      <w:r>
        <w:rPr>
          <w:rFonts w:ascii="宋体" w:hAnsi="宋体"/>
          <w:color w:val="000000"/>
          <w:sz w:val="24"/>
          <w:szCs w:val="24"/>
        </w:rPr>
        <w:t>《江苏省市政工程计价表》（2014）</w:t>
      </w:r>
    </w:p>
    <w:p w14:paraId="6587923F">
      <w:pPr>
        <w:shd w:val="clear" w:color="auto" w:fill="FFFFFF"/>
        <w:spacing w:line="480" w:lineRule="atLeast"/>
        <w:ind w:firstLine="480" w:firstLineChars="200"/>
        <w:rPr>
          <w:rFonts w:ascii="宋体" w:hAnsi="宋体"/>
          <w:color w:val="000000"/>
          <w:sz w:val="24"/>
          <w:szCs w:val="24"/>
        </w:rPr>
      </w:pPr>
      <w:r>
        <w:rPr>
          <w:rFonts w:hint="eastAsia" w:ascii="宋体" w:hAnsi="宋体"/>
          <w:color w:val="000000"/>
          <w:sz w:val="24"/>
          <w:szCs w:val="24"/>
        </w:rPr>
        <w:t>3.《江苏省建设工程费用定额》（</w:t>
      </w:r>
      <w:r>
        <w:rPr>
          <w:rFonts w:ascii="宋体" w:hAnsi="宋体"/>
          <w:color w:val="000000"/>
          <w:sz w:val="24"/>
          <w:szCs w:val="24"/>
        </w:rPr>
        <w:t>2014</w:t>
      </w:r>
      <w:r>
        <w:rPr>
          <w:rFonts w:hint="eastAsia" w:ascii="宋体" w:hAnsi="宋体"/>
          <w:color w:val="000000"/>
          <w:sz w:val="24"/>
          <w:szCs w:val="24"/>
        </w:rPr>
        <w:t>）版及现行的相关规定</w:t>
      </w:r>
    </w:p>
    <w:p w14:paraId="7D1A31B9">
      <w:pPr>
        <w:shd w:val="clear" w:color="auto" w:fill="FFFFFF"/>
        <w:spacing w:line="480" w:lineRule="atLeast"/>
        <w:ind w:firstLine="480" w:firstLineChars="200"/>
        <w:rPr>
          <w:rFonts w:ascii="宋体" w:hAnsi="宋体"/>
          <w:color w:val="000000"/>
          <w:sz w:val="24"/>
          <w:szCs w:val="24"/>
        </w:rPr>
      </w:pPr>
      <w:r>
        <w:rPr>
          <w:rFonts w:hint="eastAsia" w:ascii="宋体" w:hAnsi="宋体"/>
          <w:color w:val="000000"/>
          <w:sz w:val="24"/>
          <w:szCs w:val="24"/>
        </w:rPr>
        <w:t>4.苏建价【</w:t>
      </w:r>
      <w:r>
        <w:rPr>
          <w:rFonts w:ascii="宋体" w:hAnsi="宋体"/>
          <w:color w:val="000000"/>
          <w:sz w:val="24"/>
          <w:szCs w:val="24"/>
        </w:rPr>
        <w:t>2016</w:t>
      </w:r>
      <w:r>
        <w:rPr>
          <w:rFonts w:hint="eastAsia" w:ascii="宋体" w:hAnsi="宋体"/>
          <w:color w:val="000000"/>
          <w:sz w:val="24"/>
          <w:szCs w:val="24"/>
        </w:rPr>
        <w:t>】</w:t>
      </w:r>
      <w:r>
        <w:rPr>
          <w:rFonts w:ascii="宋体" w:hAnsi="宋体"/>
          <w:color w:val="000000"/>
          <w:sz w:val="24"/>
          <w:szCs w:val="24"/>
        </w:rPr>
        <w:t>154</w:t>
      </w:r>
      <w:r>
        <w:rPr>
          <w:rFonts w:hint="eastAsia" w:ascii="宋体" w:hAnsi="宋体"/>
          <w:color w:val="000000"/>
          <w:sz w:val="24"/>
          <w:szCs w:val="24"/>
        </w:rPr>
        <w:t>号文（省住房城乡建设厅关于建筑业实话营改增后江苏省建设工程计价依据调整的通知）、苏建函价【</w:t>
      </w:r>
      <w:r>
        <w:rPr>
          <w:rFonts w:ascii="宋体" w:hAnsi="宋体"/>
          <w:color w:val="000000"/>
          <w:sz w:val="24"/>
          <w:szCs w:val="24"/>
        </w:rPr>
        <w:t>2018</w:t>
      </w:r>
      <w:r>
        <w:rPr>
          <w:rFonts w:hint="eastAsia" w:ascii="宋体" w:hAnsi="宋体"/>
          <w:color w:val="000000"/>
          <w:sz w:val="24"/>
          <w:szCs w:val="24"/>
        </w:rPr>
        <w:t>】</w:t>
      </w:r>
      <w:r>
        <w:rPr>
          <w:rFonts w:ascii="宋体" w:hAnsi="宋体"/>
          <w:color w:val="000000"/>
          <w:sz w:val="24"/>
          <w:szCs w:val="24"/>
        </w:rPr>
        <w:t>298</w:t>
      </w:r>
      <w:r>
        <w:rPr>
          <w:rFonts w:hint="eastAsia" w:ascii="宋体" w:hAnsi="宋体"/>
          <w:color w:val="000000"/>
          <w:sz w:val="24"/>
          <w:szCs w:val="24"/>
        </w:rPr>
        <w:t>号文（省住房城乡建设厅关于建筑业增值税计价政策调整的通知）、苏建函价【</w:t>
      </w:r>
      <w:r>
        <w:rPr>
          <w:rFonts w:ascii="宋体" w:hAnsi="宋体"/>
          <w:color w:val="000000"/>
          <w:sz w:val="24"/>
          <w:szCs w:val="24"/>
        </w:rPr>
        <w:t>2019</w:t>
      </w:r>
      <w:r>
        <w:rPr>
          <w:rFonts w:hint="eastAsia" w:ascii="宋体" w:hAnsi="宋体"/>
          <w:color w:val="000000"/>
          <w:sz w:val="24"/>
          <w:szCs w:val="24"/>
        </w:rPr>
        <w:t>】</w:t>
      </w:r>
      <w:r>
        <w:rPr>
          <w:rFonts w:ascii="宋体" w:hAnsi="宋体"/>
          <w:color w:val="000000"/>
          <w:sz w:val="24"/>
          <w:szCs w:val="24"/>
        </w:rPr>
        <w:t>178</w:t>
      </w:r>
      <w:r>
        <w:rPr>
          <w:rFonts w:hint="eastAsia" w:ascii="宋体" w:hAnsi="宋体"/>
          <w:color w:val="000000"/>
          <w:sz w:val="24"/>
          <w:szCs w:val="24"/>
        </w:rPr>
        <w:t>号文（省住房城乡建设厅关于调整建设工程计价增值税税率的通知）以及相应补充规定和省、市其他有关规定执行</w:t>
      </w:r>
    </w:p>
    <w:p w14:paraId="4F13026A">
      <w:pPr>
        <w:keepNext/>
        <w:keepLines/>
        <w:shd w:val="clear" w:color="auto" w:fill="FFFFFF"/>
        <w:spacing w:line="480" w:lineRule="atLeast"/>
        <w:outlineLvl w:val="1"/>
        <w:rPr>
          <w:rFonts w:ascii="宋体" w:hAnsi="宋体"/>
          <w:b/>
          <w:bCs/>
          <w:color w:val="000000"/>
          <w:sz w:val="24"/>
          <w:szCs w:val="24"/>
        </w:rPr>
      </w:pPr>
      <w:r>
        <w:rPr>
          <w:rFonts w:ascii="宋体" w:hAnsi="宋体"/>
          <w:color w:val="000000"/>
          <w:sz w:val="24"/>
          <w:szCs w:val="24"/>
        </w:rPr>
        <w:t>二、本工程采用的技术规范</w:t>
      </w:r>
    </w:p>
    <w:p w14:paraId="084122AB">
      <w:pPr>
        <w:shd w:val="clear" w:color="auto" w:fill="FFFFFF"/>
        <w:spacing w:line="480" w:lineRule="atLeast"/>
        <w:ind w:firstLine="600" w:firstLineChars="250"/>
        <w:rPr>
          <w:rFonts w:ascii="宋体" w:hAnsi="宋体"/>
          <w:color w:val="000000"/>
          <w:sz w:val="24"/>
          <w:szCs w:val="24"/>
        </w:rPr>
      </w:pPr>
      <w:r>
        <w:rPr>
          <w:rFonts w:hint="eastAsia" w:ascii="宋体" w:hAnsi="宋体"/>
          <w:color w:val="000000"/>
          <w:sz w:val="24"/>
          <w:szCs w:val="24"/>
        </w:rPr>
        <w:t>1.</w:t>
      </w:r>
      <w:r>
        <w:rPr>
          <w:rFonts w:ascii="宋体" w:hAnsi="宋体"/>
          <w:color w:val="000000"/>
          <w:sz w:val="24"/>
          <w:szCs w:val="24"/>
        </w:rPr>
        <w:t>有关技术经济资料规定的其他强制性条文、规范及标准</w:t>
      </w:r>
    </w:p>
    <w:p w14:paraId="12DBB6E1">
      <w:pPr>
        <w:shd w:val="clear" w:color="auto" w:fill="FFFFFF"/>
        <w:spacing w:line="480" w:lineRule="atLeast"/>
        <w:ind w:firstLine="600" w:firstLineChars="250"/>
        <w:rPr>
          <w:rFonts w:ascii="宋体" w:hAnsi="宋体"/>
          <w:color w:val="000000"/>
          <w:sz w:val="24"/>
          <w:szCs w:val="24"/>
        </w:rPr>
      </w:pPr>
      <w:r>
        <w:rPr>
          <w:rFonts w:hint="eastAsia" w:ascii="宋体" w:hAnsi="宋体"/>
          <w:color w:val="000000"/>
          <w:sz w:val="24"/>
          <w:szCs w:val="24"/>
        </w:rPr>
        <w:t>2.</w:t>
      </w:r>
      <w:r>
        <w:rPr>
          <w:rFonts w:ascii="宋体" w:hAnsi="宋体"/>
          <w:color w:val="000000"/>
          <w:sz w:val="24"/>
          <w:szCs w:val="24"/>
        </w:rPr>
        <w:t>国家、地方、行业现行的建设工程强制性条文、规范及标准</w:t>
      </w:r>
    </w:p>
    <w:p w14:paraId="56F371C6">
      <w:pPr>
        <w:shd w:val="clear" w:color="auto" w:fill="FFFFFF"/>
        <w:spacing w:line="480" w:lineRule="atLeast"/>
        <w:ind w:firstLine="600" w:firstLineChars="250"/>
        <w:rPr>
          <w:rFonts w:ascii="宋体" w:hAnsi="宋体"/>
          <w:color w:val="000000"/>
          <w:sz w:val="24"/>
          <w:szCs w:val="24"/>
        </w:rPr>
      </w:pPr>
      <w:r>
        <w:rPr>
          <w:rFonts w:hint="eastAsia" w:ascii="宋体" w:hAnsi="宋体"/>
          <w:color w:val="000000"/>
          <w:sz w:val="24"/>
          <w:szCs w:val="24"/>
        </w:rPr>
        <w:t>3.</w:t>
      </w:r>
      <w:r>
        <w:rPr>
          <w:rFonts w:ascii="宋体" w:hAnsi="宋体"/>
          <w:color w:val="000000"/>
          <w:sz w:val="24"/>
          <w:szCs w:val="24"/>
        </w:rPr>
        <w:t>国家、地方、行业现行的有关材料、设备的规范和标准</w:t>
      </w:r>
    </w:p>
    <w:p w14:paraId="7293D78F">
      <w:pPr>
        <w:keepNext/>
        <w:keepLines/>
        <w:shd w:val="clear" w:color="auto" w:fill="FFFFFF"/>
        <w:spacing w:line="480" w:lineRule="atLeast"/>
        <w:outlineLvl w:val="1"/>
        <w:rPr>
          <w:rFonts w:ascii="宋体" w:hAnsi="宋体"/>
          <w:b/>
          <w:bCs/>
          <w:color w:val="000000"/>
          <w:sz w:val="24"/>
          <w:szCs w:val="24"/>
        </w:rPr>
      </w:pPr>
      <w:bookmarkStart w:id="162" w:name="_Toc302327449"/>
      <w:bookmarkEnd w:id="162"/>
      <w:bookmarkStart w:id="163" w:name="_Toc499790108"/>
      <w:bookmarkEnd w:id="163"/>
      <w:bookmarkStart w:id="164" w:name="_Toc430274635"/>
      <w:bookmarkEnd w:id="164"/>
      <w:r>
        <w:rPr>
          <w:rFonts w:ascii="宋体" w:hAnsi="宋体"/>
          <w:color w:val="000000"/>
          <w:sz w:val="24"/>
          <w:szCs w:val="24"/>
        </w:rPr>
        <w:t>三、本工程对施工工艺的特殊要求</w:t>
      </w:r>
    </w:p>
    <w:p w14:paraId="3A3907AD">
      <w:pPr>
        <w:shd w:val="clear" w:color="auto" w:fill="FFFFFF"/>
        <w:spacing w:line="480" w:lineRule="atLeast"/>
        <w:ind w:firstLine="600" w:firstLineChars="250"/>
        <w:rPr>
          <w:rFonts w:ascii="宋体" w:hAnsi="宋体"/>
          <w:color w:val="000000"/>
          <w:sz w:val="24"/>
          <w:szCs w:val="24"/>
        </w:rPr>
      </w:pPr>
      <w:r>
        <w:rPr>
          <w:rFonts w:ascii="宋体" w:hAnsi="宋体"/>
          <w:color w:val="000000"/>
          <w:sz w:val="24"/>
          <w:szCs w:val="24"/>
          <w:u w:val="single"/>
        </w:rPr>
        <w:t>1.施工期间注意周边环境，减少对周围居民、行人的影响（交通、灰尘、噪音等）。</w:t>
      </w:r>
    </w:p>
    <w:p w14:paraId="3D3B57D5">
      <w:pPr>
        <w:shd w:val="clear" w:color="auto" w:fill="FFFFFF"/>
        <w:spacing w:line="480" w:lineRule="atLeast"/>
        <w:ind w:firstLine="600" w:firstLineChars="250"/>
        <w:rPr>
          <w:rFonts w:ascii="宋体" w:hAnsi="宋体"/>
          <w:color w:val="000000"/>
          <w:sz w:val="24"/>
          <w:szCs w:val="24"/>
        </w:rPr>
      </w:pPr>
      <w:r>
        <w:rPr>
          <w:rFonts w:ascii="宋体" w:hAnsi="宋体"/>
          <w:color w:val="000000"/>
          <w:sz w:val="24"/>
          <w:szCs w:val="24"/>
          <w:u w:val="single"/>
        </w:rPr>
        <w:t>2</w:t>
      </w:r>
      <w:r>
        <w:rPr>
          <w:rFonts w:hint="eastAsia" w:ascii="宋体" w:hAnsi="宋体"/>
          <w:color w:val="000000"/>
          <w:sz w:val="24"/>
          <w:szCs w:val="24"/>
          <w:u w:val="single"/>
        </w:rPr>
        <w:t>.</w:t>
      </w:r>
      <w:r>
        <w:rPr>
          <w:rFonts w:ascii="宋体" w:hAnsi="宋体"/>
          <w:color w:val="000000"/>
          <w:sz w:val="24"/>
          <w:szCs w:val="24"/>
          <w:u w:val="single"/>
        </w:rPr>
        <w:t>冬雨季施工要采取相应的保证措施。</w:t>
      </w:r>
    </w:p>
    <w:p w14:paraId="4CF12A3E">
      <w:pPr>
        <w:shd w:val="clear" w:color="auto" w:fill="FFFFFF"/>
        <w:spacing w:line="480" w:lineRule="atLeast"/>
        <w:ind w:firstLine="600" w:firstLineChars="250"/>
        <w:rPr>
          <w:rFonts w:ascii="宋体" w:hAnsi="宋体"/>
          <w:color w:val="000000"/>
          <w:sz w:val="24"/>
          <w:szCs w:val="24"/>
        </w:rPr>
      </w:pPr>
      <w:r>
        <w:rPr>
          <w:rFonts w:ascii="宋体" w:hAnsi="宋体"/>
          <w:color w:val="000000"/>
          <w:sz w:val="24"/>
          <w:szCs w:val="24"/>
          <w:u w:val="single"/>
        </w:rPr>
        <w:t>3.工程主要部位和特殊要求由发包人、设计、监理三方讨论后以书面开式通知承包人实施。</w:t>
      </w:r>
    </w:p>
    <w:p w14:paraId="2DEF81A7">
      <w:pPr>
        <w:shd w:val="clear" w:color="auto" w:fill="FFFFFF"/>
        <w:spacing w:line="480" w:lineRule="atLeast"/>
        <w:ind w:firstLine="583" w:firstLineChars="243"/>
        <w:rPr>
          <w:rFonts w:ascii="宋体" w:hAnsi="宋体"/>
          <w:color w:val="000000"/>
          <w:sz w:val="24"/>
          <w:szCs w:val="24"/>
        </w:rPr>
      </w:pPr>
      <w:r>
        <w:rPr>
          <w:rFonts w:ascii="宋体" w:hAnsi="宋体"/>
          <w:color w:val="000000"/>
          <w:sz w:val="24"/>
          <w:szCs w:val="24"/>
          <w:u w:val="single"/>
        </w:rPr>
        <w:t>4.其余见设计院设计说明。</w:t>
      </w:r>
    </w:p>
    <w:p w14:paraId="4D5E148F">
      <w:pPr>
        <w:shd w:val="clear" w:color="auto" w:fill="FFFFFF"/>
        <w:spacing w:line="480" w:lineRule="atLeast"/>
        <w:rPr>
          <w:rFonts w:ascii="宋体" w:hAnsi="宋体"/>
          <w:b/>
          <w:color w:val="000000"/>
          <w:sz w:val="24"/>
          <w:szCs w:val="24"/>
        </w:rPr>
      </w:pPr>
    </w:p>
    <w:p w14:paraId="56E207C9">
      <w:pPr>
        <w:shd w:val="clear" w:color="auto" w:fill="FFFFFF"/>
        <w:spacing w:line="480" w:lineRule="atLeast"/>
        <w:rPr>
          <w:rFonts w:ascii="宋体" w:hAnsi="宋体"/>
          <w:b/>
          <w:color w:val="000000"/>
          <w:sz w:val="24"/>
          <w:szCs w:val="24"/>
        </w:rPr>
      </w:pPr>
    </w:p>
    <w:p w14:paraId="1EED4A18">
      <w:pPr>
        <w:shd w:val="clear" w:color="auto" w:fill="FFFFFF"/>
        <w:spacing w:line="480" w:lineRule="atLeast"/>
        <w:rPr>
          <w:rFonts w:ascii="宋体" w:hAnsi="宋体"/>
          <w:b/>
          <w:color w:val="000000"/>
          <w:sz w:val="24"/>
          <w:szCs w:val="24"/>
        </w:rPr>
      </w:pPr>
    </w:p>
    <w:p w14:paraId="72DC6822">
      <w:pPr>
        <w:shd w:val="clear" w:color="auto" w:fill="FFFFFF"/>
        <w:spacing w:line="480" w:lineRule="atLeast"/>
        <w:rPr>
          <w:rFonts w:ascii="宋体"/>
          <w:color w:val="000000"/>
          <w:sz w:val="24"/>
          <w:szCs w:val="24"/>
          <w:u w:val="single"/>
        </w:rPr>
      </w:pPr>
    </w:p>
    <w:p w14:paraId="2E381C4C">
      <w:pPr>
        <w:shd w:val="clear" w:color="auto" w:fill="FFFFFF"/>
        <w:spacing w:line="480" w:lineRule="atLeast"/>
        <w:ind w:firstLine="465"/>
        <w:rPr>
          <w:rFonts w:ascii="宋体"/>
          <w:color w:val="000000"/>
          <w:sz w:val="24"/>
          <w:szCs w:val="24"/>
          <w:u w:val="single"/>
        </w:rPr>
      </w:pPr>
    </w:p>
    <w:p w14:paraId="25956C46">
      <w:pPr>
        <w:shd w:val="clear" w:color="auto" w:fill="FFFFFF"/>
        <w:spacing w:line="480" w:lineRule="atLeast"/>
        <w:ind w:firstLine="465"/>
        <w:rPr>
          <w:rFonts w:ascii="宋体"/>
          <w:color w:val="000000"/>
          <w:sz w:val="24"/>
          <w:szCs w:val="24"/>
          <w:u w:val="single"/>
        </w:rPr>
      </w:pPr>
    </w:p>
    <w:p w14:paraId="045E30B0">
      <w:pPr>
        <w:pStyle w:val="2"/>
        <w:jc w:val="center"/>
        <w:rPr>
          <w:rFonts w:ascii="宋体" w:hAnsi="宋体" w:eastAsia="宋体"/>
        </w:rPr>
      </w:pPr>
      <w:r>
        <w:rPr>
          <w:rFonts w:hint="eastAsia" w:ascii="宋体" w:hAnsi="宋体" w:eastAsia="宋体" w:cs="宋体"/>
        </w:rPr>
        <w:t>第七章  投标文件格式</w:t>
      </w:r>
    </w:p>
    <w:p w14:paraId="04F1B2E4">
      <w:pPr>
        <w:jc w:val="center"/>
        <w:rPr>
          <w:rFonts w:ascii="宋体"/>
          <w:sz w:val="44"/>
          <w:szCs w:val="44"/>
          <w:u w:val="single"/>
        </w:rPr>
      </w:pPr>
    </w:p>
    <w:p w14:paraId="61636058">
      <w:pPr>
        <w:jc w:val="center"/>
        <w:rPr>
          <w:rFonts w:ascii="宋体"/>
          <w:sz w:val="44"/>
          <w:szCs w:val="44"/>
          <w:u w:val="single"/>
        </w:rPr>
      </w:pPr>
    </w:p>
    <w:p w14:paraId="430EFBAE">
      <w:pPr>
        <w:jc w:val="center"/>
        <w:rPr>
          <w:rFonts w:ascii="宋体"/>
          <w:sz w:val="44"/>
          <w:szCs w:val="44"/>
          <w:u w:val="single"/>
        </w:rPr>
      </w:pPr>
    </w:p>
    <w:p w14:paraId="64876368">
      <w:pPr>
        <w:jc w:val="center"/>
        <w:rPr>
          <w:rFonts w:ascii="宋体"/>
          <w:sz w:val="44"/>
          <w:szCs w:val="44"/>
          <w:u w:val="single"/>
        </w:rPr>
      </w:pPr>
    </w:p>
    <w:p w14:paraId="13250FB2">
      <w:pPr>
        <w:jc w:val="center"/>
        <w:rPr>
          <w:rFonts w:ascii="宋体"/>
          <w:sz w:val="44"/>
          <w:szCs w:val="44"/>
          <w:u w:val="single"/>
        </w:rPr>
      </w:pPr>
    </w:p>
    <w:p w14:paraId="7D658659">
      <w:pPr>
        <w:spacing w:beforeLines="100"/>
        <w:jc w:val="center"/>
        <w:rPr>
          <w:rFonts w:ascii="宋体" w:hAnsi="宋体" w:cs="宋体"/>
          <w:sz w:val="44"/>
          <w:szCs w:val="44"/>
        </w:rPr>
      </w:pPr>
      <w:r>
        <w:rPr>
          <w:rFonts w:hint="eastAsia" w:ascii="宋体" w:hAnsi="宋体" w:cs="宋体"/>
          <w:sz w:val="44"/>
          <w:szCs w:val="44"/>
        </w:rPr>
        <w:t>西站大道二期给水工程海星电子厂区段顶管专业分包项目</w:t>
      </w:r>
    </w:p>
    <w:p w14:paraId="2BCBF273">
      <w:pPr>
        <w:spacing w:beforeLines="100"/>
        <w:jc w:val="center"/>
        <w:rPr>
          <w:rFonts w:ascii="宋体"/>
          <w:sz w:val="44"/>
          <w:szCs w:val="44"/>
        </w:rPr>
      </w:pPr>
      <w:r>
        <w:rPr>
          <w:rFonts w:hint="eastAsia" w:ascii="宋体" w:hAnsi="宋体" w:cs="宋体"/>
          <w:sz w:val="44"/>
          <w:szCs w:val="44"/>
        </w:rPr>
        <w:t>投标文件</w:t>
      </w:r>
    </w:p>
    <w:p w14:paraId="15B877F5">
      <w:pPr>
        <w:jc w:val="center"/>
        <w:rPr>
          <w:rFonts w:ascii="宋体"/>
          <w:sz w:val="24"/>
          <w:szCs w:val="24"/>
        </w:rPr>
      </w:pPr>
      <w:r>
        <w:rPr>
          <w:rFonts w:hint="eastAsia" w:ascii="宋体"/>
          <w:sz w:val="24"/>
          <w:szCs w:val="24"/>
        </w:rPr>
        <w:t>（资格审查文件/商务标文件）</w:t>
      </w:r>
    </w:p>
    <w:p w14:paraId="4ABCBDF7">
      <w:pPr>
        <w:rPr>
          <w:rFonts w:ascii="宋体"/>
          <w:sz w:val="32"/>
          <w:szCs w:val="32"/>
        </w:rPr>
      </w:pPr>
    </w:p>
    <w:p w14:paraId="5C8F9849">
      <w:pPr>
        <w:jc w:val="center"/>
        <w:rPr>
          <w:rFonts w:ascii="宋体"/>
          <w:sz w:val="32"/>
          <w:szCs w:val="32"/>
        </w:rPr>
      </w:pPr>
    </w:p>
    <w:p w14:paraId="419E9EBE">
      <w:pPr>
        <w:jc w:val="center"/>
        <w:rPr>
          <w:rFonts w:ascii="宋体"/>
          <w:sz w:val="32"/>
          <w:szCs w:val="32"/>
        </w:rPr>
      </w:pPr>
    </w:p>
    <w:p w14:paraId="08E6BB50">
      <w:pPr>
        <w:jc w:val="center"/>
        <w:rPr>
          <w:rFonts w:ascii="宋体"/>
          <w:sz w:val="32"/>
          <w:szCs w:val="32"/>
        </w:rPr>
      </w:pPr>
    </w:p>
    <w:p w14:paraId="211450A0">
      <w:pPr>
        <w:jc w:val="center"/>
        <w:rPr>
          <w:rFonts w:ascii="宋体"/>
          <w:sz w:val="32"/>
          <w:szCs w:val="32"/>
        </w:rPr>
      </w:pPr>
    </w:p>
    <w:p w14:paraId="7936002C">
      <w:pPr>
        <w:jc w:val="center"/>
        <w:rPr>
          <w:rFonts w:ascii="宋体"/>
          <w:sz w:val="32"/>
          <w:szCs w:val="32"/>
        </w:rPr>
      </w:pPr>
    </w:p>
    <w:p w14:paraId="2EBD7777">
      <w:pPr>
        <w:jc w:val="center"/>
        <w:rPr>
          <w:rFonts w:ascii="宋体"/>
          <w:sz w:val="32"/>
          <w:szCs w:val="32"/>
        </w:rPr>
      </w:pPr>
    </w:p>
    <w:p w14:paraId="6909A328">
      <w:pPr>
        <w:spacing w:line="360" w:lineRule="auto"/>
        <w:ind w:firstLine="1400" w:firstLineChars="500"/>
        <w:rPr>
          <w:rFonts w:ascii="宋体"/>
          <w:sz w:val="28"/>
          <w:szCs w:val="28"/>
        </w:rPr>
      </w:pPr>
    </w:p>
    <w:p w14:paraId="135A9D7F">
      <w:pPr>
        <w:spacing w:line="360" w:lineRule="auto"/>
        <w:ind w:firstLine="1200" w:firstLineChars="500"/>
        <w:rPr>
          <w:rFonts w:ascii="宋体"/>
          <w:sz w:val="24"/>
          <w:szCs w:val="24"/>
        </w:rPr>
      </w:pPr>
      <w:r>
        <w:rPr>
          <w:rFonts w:hint="eastAsia" w:ascii="宋体" w:hAnsi="宋体" w:cs="宋体"/>
          <w:sz w:val="24"/>
          <w:szCs w:val="24"/>
        </w:rPr>
        <w:t>投标人：（盖单位章）</w:t>
      </w:r>
    </w:p>
    <w:p w14:paraId="499A3443">
      <w:pPr>
        <w:spacing w:line="360" w:lineRule="auto"/>
        <w:ind w:firstLine="1200" w:firstLineChars="500"/>
        <w:rPr>
          <w:rFonts w:ascii="宋体"/>
          <w:sz w:val="24"/>
          <w:szCs w:val="24"/>
        </w:rPr>
      </w:pPr>
      <w:r>
        <w:rPr>
          <w:rFonts w:hint="eastAsia" w:ascii="宋体" w:hAnsi="宋体" w:cs="宋体"/>
          <w:sz w:val="24"/>
          <w:szCs w:val="24"/>
        </w:rPr>
        <w:t>法定代表人或其委托代理人：（签字或盖章）</w:t>
      </w:r>
    </w:p>
    <w:p w14:paraId="1F08674D">
      <w:pPr>
        <w:jc w:val="center"/>
        <w:rPr>
          <w:rFonts w:ascii="宋体"/>
          <w:sz w:val="24"/>
          <w:szCs w:val="24"/>
        </w:rPr>
      </w:pPr>
    </w:p>
    <w:p w14:paraId="321B199E">
      <w:pPr>
        <w:jc w:val="center"/>
        <w:rPr>
          <w:rFonts w:ascii="宋体"/>
          <w:sz w:val="24"/>
          <w:szCs w:val="24"/>
        </w:rPr>
      </w:pPr>
    </w:p>
    <w:p w14:paraId="2E2D62B3">
      <w:pPr>
        <w:jc w:val="center"/>
        <w:rPr>
          <w:rFonts w:ascii="宋体" w:hAnsi="宋体" w:cs="宋体"/>
          <w:sz w:val="24"/>
          <w:szCs w:val="24"/>
        </w:rPr>
      </w:pPr>
      <w:r>
        <w:rPr>
          <w:rFonts w:hint="eastAsia" w:ascii="宋体" w:hAnsi="宋体" w:cs="宋体"/>
          <w:sz w:val="24"/>
          <w:szCs w:val="24"/>
        </w:rPr>
        <w:t>年月日</w:t>
      </w:r>
    </w:p>
    <w:p w14:paraId="695540DC">
      <w:pPr>
        <w:keepNext/>
        <w:keepLines/>
        <w:spacing w:before="100" w:line="400" w:lineRule="exact"/>
        <w:jc w:val="center"/>
        <w:outlineLvl w:val="1"/>
        <w:rPr>
          <w:rFonts w:ascii="宋体"/>
          <w:b/>
          <w:bCs/>
          <w:sz w:val="24"/>
          <w:szCs w:val="24"/>
        </w:rPr>
      </w:pPr>
      <w:r>
        <w:rPr>
          <w:rFonts w:hint="eastAsia" w:ascii="宋体" w:hAnsi="宋体" w:cs="宋体"/>
          <w:sz w:val="28"/>
          <w:szCs w:val="28"/>
        </w:rPr>
        <w:t>投标函</w:t>
      </w:r>
    </w:p>
    <w:p w14:paraId="3F7A7490">
      <w:pPr>
        <w:pStyle w:val="266"/>
        <w:jc w:val="center"/>
        <w:rPr>
          <w:rFonts w:ascii="宋体"/>
        </w:rPr>
      </w:pPr>
    </w:p>
    <w:p w14:paraId="49F9A1FC">
      <w:pPr>
        <w:spacing w:line="360" w:lineRule="auto"/>
        <w:ind w:firstLine="527" w:firstLineChars="251"/>
        <w:rPr>
          <w:rFonts w:ascii="宋体"/>
        </w:rPr>
      </w:pPr>
      <w:r>
        <w:rPr>
          <w:rFonts w:ascii="宋体" w:hAnsi="宋体" w:cs="宋体"/>
        </w:rPr>
        <w:t>1</w:t>
      </w:r>
      <w:r>
        <w:rPr>
          <w:rFonts w:hint="eastAsia" w:ascii="宋体" w:hAnsi="宋体" w:cs="宋体"/>
        </w:rPr>
        <w:t>、根据你方</w:t>
      </w:r>
      <w:r>
        <w:rPr>
          <w:rFonts w:hint="eastAsia" w:ascii="宋体" w:hAnsi="宋体" w:cs="宋体"/>
          <w:b/>
          <w:bCs/>
          <w:u w:val="single"/>
        </w:rPr>
        <w:t>西站大道二期给水工程海星电子厂区段顶管专业分包项目</w:t>
      </w:r>
      <w:r>
        <w:rPr>
          <w:rFonts w:hint="eastAsia" w:ascii="宋体" w:hAnsi="宋体" w:cs="宋体"/>
        </w:rPr>
        <w:t>招标文件，遵照《中华人民共和国招标投标法》等有关规定，经踏勘项目现场和研究上述招标文件的投标须知、合同条款、图纸、工程建设标准和工程量清单及其他有关文件后，</w:t>
      </w:r>
      <w:r>
        <w:rPr>
          <w:rFonts w:hint="eastAsia" w:ascii="宋体" w:hAnsi="宋体" w:cs="宋体"/>
          <w:highlight w:val="yellow"/>
        </w:rPr>
        <w:t>我方愿以人民币（大写）</w:t>
      </w:r>
      <w:r>
        <w:rPr>
          <w:rFonts w:hint="eastAsia" w:ascii="宋体" w:hAnsi="宋体" w:cs="宋体"/>
          <w:highlight w:val="yellow"/>
          <w:u w:val="single"/>
          <w:lang w:val="en-US" w:eastAsia="zh-CN"/>
        </w:rPr>
        <w:t xml:space="preserve">    </w:t>
      </w:r>
      <w:r>
        <w:rPr>
          <w:rFonts w:hint="eastAsia" w:ascii="宋体" w:hAnsi="宋体" w:cs="宋体"/>
          <w:highlight w:val="yellow"/>
        </w:rPr>
        <w:t>元（</w:t>
      </w:r>
      <w:r>
        <w:rPr>
          <w:rFonts w:ascii="宋体" w:hAnsi="宋体" w:cs="宋体"/>
          <w:highlight w:val="yellow"/>
        </w:rPr>
        <w:t>RMB</w:t>
      </w:r>
      <w:r>
        <w:rPr>
          <w:rFonts w:hint="eastAsia" w:ascii="宋体" w:hAnsi="宋体" w:cs="宋体"/>
          <w:highlight w:val="yellow"/>
        </w:rPr>
        <w:t>￥</w:t>
      </w:r>
      <w:r>
        <w:rPr>
          <w:rFonts w:hint="eastAsia" w:ascii="宋体" w:hAnsi="宋体" w:cs="宋体"/>
          <w:highlight w:val="yellow"/>
          <w:u w:val="single"/>
          <w:lang w:val="en-US" w:eastAsia="zh-CN"/>
        </w:rPr>
        <w:t xml:space="preserve">      </w:t>
      </w:r>
      <w:r>
        <w:rPr>
          <w:rFonts w:hint="eastAsia" w:ascii="宋体" w:hAnsi="宋体" w:cs="宋体"/>
          <w:highlight w:val="yellow"/>
        </w:rPr>
        <w:t>元）</w:t>
      </w:r>
      <w:r>
        <w:rPr>
          <w:rFonts w:hint="eastAsia" w:ascii="宋体" w:hAnsi="宋体" w:cs="宋体"/>
        </w:rPr>
        <w:t>的投标报价并按上述图纸、合同条款、工程建设标准和工程量清单（如有时）的条件要求承包上述工程的施工，并承担任何质量缺陷保修责任。</w:t>
      </w:r>
    </w:p>
    <w:p w14:paraId="3A5337D6">
      <w:pPr>
        <w:spacing w:line="360" w:lineRule="auto"/>
        <w:ind w:firstLine="527" w:firstLineChars="251"/>
        <w:rPr>
          <w:rFonts w:ascii="宋体"/>
        </w:rPr>
      </w:pPr>
      <w:r>
        <w:rPr>
          <w:rFonts w:hint="eastAsia" w:ascii="宋体" w:hAnsi="宋体" w:cs="宋体"/>
        </w:rPr>
        <w:t>我方保证工程质量达到合格标准，工期日历天。</w:t>
      </w:r>
    </w:p>
    <w:p w14:paraId="359B83C1">
      <w:pPr>
        <w:spacing w:line="360" w:lineRule="auto"/>
        <w:ind w:firstLine="424" w:firstLineChars="202"/>
        <w:rPr>
          <w:rFonts w:ascii="宋体"/>
        </w:rPr>
      </w:pPr>
      <w:r>
        <w:rPr>
          <w:rFonts w:ascii="宋体" w:hAnsi="宋体" w:cs="宋体"/>
        </w:rPr>
        <w:t>2</w:t>
      </w:r>
      <w:r>
        <w:rPr>
          <w:rFonts w:hint="eastAsia" w:ascii="宋体" w:hAnsi="宋体" w:cs="宋体"/>
        </w:rPr>
        <w:t>、我方承诺不存在第二章“投标人须知”第</w:t>
      </w:r>
      <w:r>
        <w:rPr>
          <w:rFonts w:ascii="宋体" w:hAnsi="宋体" w:cs="宋体"/>
        </w:rPr>
        <w:t>1.4.3</w:t>
      </w:r>
      <w:r>
        <w:rPr>
          <w:rFonts w:hint="eastAsia" w:ascii="宋体" w:hAnsi="宋体" w:cs="宋体"/>
        </w:rPr>
        <w:t>项规定的任何一种情形。</w:t>
      </w:r>
    </w:p>
    <w:p w14:paraId="7F49BA3E">
      <w:pPr>
        <w:spacing w:line="360" w:lineRule="auto"/>
        <w:ind w:firstLine="424" w:firstLineChars="202"/>
        <w:rPr>
          <w:rFonts w:ascii="宋体"/>
        </w:rPr>
      </w:pPr>
      <w:r>
        <w:rPr>
          <w:rFonts w:ascii="宋体" w:hAnsi="宋体" w:cs="宋体"/>
        </w:rPr>
        <w:t>3</w:t>
      </w:r>
      <w:r>
        <w:rPr>
          <w:rFonts w:hint="eastAsia" w:ascii="宋体" w:hAnsi="宋体" w:cs="宋体"/>
        </w:rPr>
        <w:t>、我方承诺拟派项目负责人满足第二章“投标人须知”第</w:t>
      </w:r>
      <w:r>
        <w:rPr>
          <w:rFonts w:ascii="宋体" w:hAnsi="宋体" w:cs="宋体"/>
        </w:rPr>
        <w:t>1.4.1</w:t>
      </w:r>
      <w:r>
        <w:rPr>
          <w:rFonts w:hint="eastAsia" w:ascii="宋体" w:hAnsi="宋体" w:cs="宋体"/>
        </w:rPr>
        <w:t>项中对项目负责人是否有在建工程的相关要求。</w:t>
      </w:r>
    </w:p>
    <w:p w14:paraId="2768C0A6">
      <w:pPr>
        <w:spacing w:line="360" w:lineRule="auto"/>
        <w:ind w:firstLine="424" w:firstLineChars="202"/>
        <w:rPr>
          <w:rFonts w:ascii="宋体"/>
        </w:rPr>
      </w:pPr>
      <w:r>
        <w:rPr>
          <w:rFonts w:ascii="宋体" w:hAnsi="宋体" w:cs="宋体"/>
        </w:rPr>
        <w:t>4</w:t>
      </w:r>
      <w:r>
        <w:rPr>
          <w:rFonts w:hint="eastAsia" w:ascii="宋体" w:hAnsi="宋体" w:cs="宋体"/>
        </w:rPr>
        <w:t>、我方承诺在本次投标过程中无弄虚作假和串通投标等违法、违规行为，并愿意承担因弄虚作假和串通投标所引起的一切法律责任。</w:t>
      </w:r>
    </w:p>
    <w:p w14:paraId="1D21A789">
      <w:pPr>
        <w:spacing w:line="360" w:lineRule="auto"/>
        <w:ind w:firstLine="424" w:firstLineChars="202"/>
        <w:rPr>
          <w:rFonts w:ascii="宋体"/>
        </w:rPr>
      </w:pPr>
      <w:r>
        <w:rPr>
          <w:rFonts w:ascii="宋体" w:hAnsi="宋体" w:cs="宋体"/>
        </w:rPr>
        <w:t>5</w:t>
      </w:r>
      <w:r>
        <w:rPr>
          <w:rFonts w:hint="eastAsia" w:ascii="宋体" w:hAnsi="宋体" w:cs="宋体"/>
        </w:rPr>
        <w:t>、我方承诺在投标有效期内不修改、撤销投标文件。</w:t>
      </w:r>
    </w:p>
    <w:p w14:paraId="7354E423">
      <w:pPr>
        <w:spacing w:line="360" w:lineRule="auto"/>
        <w:ind w:firstLine="424" w:firstLineChars="202"/>
        <w:rPr>
          <w:rFonts w:ascii="宋体"/>
        </w:rPr>
      </w:pPr>
      <w:r>
        <w:rPr>
          <w:rFonts w:ascii="宋体" w:hAnsi="宋体" w:cs="宋体"/>
        </w:rPr>
        <w:t>6</w:t>
      </w:r>
      <w:r>
        <w:rPr>
          <w:rFonts w:hint="eastAsia" w:ascii="宋体" w:hAnsi="宋体" w:cs="宋体"/>
        </w:rPr>
        <w:t>、如我方中标：</w:t>
      </w:r>
    </w:p>
    <w:p w14:paraId="25EB79E2">
      <w:pPr>
        <w:spacing w:line="360" w:lineRule="auto"/>
        <w:ind w:firstLine="424" w:firstLineChars="202"/>
        <w:rPr>
          <w:rFonts w:ascii="宋体"/>
        </w:rPr>
      </w:pPr>
      <w:r>
        <w:rPr>
          <w:rFonts w:hint="eastAsia" w:ascii="宋体" w:hAnsi="宋体" w:cs="宋体"/>
        </w:rPr>
        <w:t>（</w:t>
      </w:r>
      <w:r>
        <w:rPr>
          <w:rFonts w:ascii="宋体" w:hAnsi="宋体" w:cs="宋体"/>
        </w:rPr>
        <w:t>1</w:t>
      </w:r>
      <w:r>
        <w:rPr>
          <w:rFonts w:hint="eastAsia" w:ascii="宋体" w:hAnsi="宋体" w:cs="宋体"/>
        </w:rPr>
        <w:t>）我方承诺在收到中标通知书后，在中标通知书规定的期限内与贵方签订合同。</w:t>
      </w:r>
    </w:p>
    <w:p w14:paraId="529F15E9">
      <w:pPr>
        <w:spacing w:line="360" w:lineRule="auto"/>
        <w:ind w:firstLine="424" w:firstLineChars="202"/>
        <w:rPr>
          <w:rFonts w:ascii="宋体"/>
        </w:rPr>
      </w:pPr>
      <w:r>
        <w:rPr>
          <w:rFonts w:hint="eastAsia" w:ascii="宋体" w:hAnsi="宋体" w:cs="宋体"/>
        </w:rPr>
        <w:t>（</w:t>
      </w:r>
      <w:r>
        <w:rPr>
          <w:rFonts w:ascii="宋体" w:hAnsi="宋体" w:cs="宋体"/>
        </w:rPr>
        <w:t>2</w:t>
      </w:r>
      <w:r>
        <w:rPr>
          <w:rFonts w:hint="eastAsia" w:ascii="宋体" w:hAnsi="宋体" w:cs="宋体"/>
        </w:rPr>
        <w:t>）我方承诺按照招标文件规定向你方递交履约担保。</w:t>
      </w:r>
    </w:p>
    <w:p w14:paraId="4367F59E">
      <w:pPr>
        <w:spacing w:line="360" w:lineRule="auto"/>
        <w:ind w:firstLine="424" w:firstLineChars="202"/>
        <w:rPr>
          <w:rFonts w:ascii="宋体"/>
        </w:rPr>
      </w:pPr>
      <w:r>
        <w:rPr>
          <w:rFonts w:hint="eastAsia" w:ascii="宋体" w:hAnsi="宋体" w:cs="宋体"/>
        </w:rPr>
        <w:t>（</w:t>
      </w:r>
      <w:r>
        <w:rPr>
          <w:rFonts w:ascii="宋体" w:hAnsi="宋体" w:cs="宋体"/>
        </w:rPr>
        <w:t>3</w:t>
      </w:r>
      <w:r>
        <w:rPr>
          <w:rFonts w:hint="eastAsia" w:ascii="宋体" w:hAnsi="宋体" w:cs="宋体"/>
        </w:rPr>
        <w:t>）我方承诺在合同约定的期限内完成并移交全部合同工程。</w:t>
      </w:r>
    </w:p>
    <w:p w14:paraId="3E868CBA">
      <w:pPr>
        <w:spacing w:line="360" w:lineRule="auto"/>
        <w:ind w:firstLine="424" w:firstLineChars="202"/>
        <w:rPr>
          <w:rFonts w:ascii="宋体"/>
        </w:rPr>
      </w:pPr>
    </w:p>
    <w:p w14:paraId="31E64CA7">
      <w:pPr>
        <w:spacing w:line="360" w:lineRule="auto"/>
        <w:ind w:firstLine="424" w:firstLineChars="202"/>
        <w:rPr>
          <w:rFonts w:ascii="宋体"/>
        </w:rPr>
      </w:pPr>
    </w:p>
    <w:p w14:paraId="5C007D4F">
      <w:pPr>
        <w:spacing w:line="360" w:lineRule="auto"/>
        <w:ind w:firstLine="424" w:firstLineChars="202"/>
        <w:rPr>
          <w:rFonts w:ascii="宋体" w:hAnsi="宋体" w:cs="宋体"/>
        </w:rPr>
      </w:pPr>
    </w:p>
    <w:p w14:paraId="6229BEEB">
      <w:pPr>
        <w:spacing w:line="360" w:lineRule="auto"/>
        <w:ind w:left="1000" w:leftChars="476" w:firstLine="424" w:firstLineChars="202"/>
        <w:rPr>
          <w:rFonts w:ascii="宋体"/>
          <w:u w:val="single"/>
        </w:rPr>
      </w:pPr>
      <w:r>
        <w:rPr>
          <w:rFonts w:hint="eastAsia" w:ascii="宋体" w:hAnsi="宋体" w:cs="宋体"/>
        </w:rPr>
        <w:t>投标人：</w:t>
      </w:r>
      <w:r>
        <w:rPr>
          <w:rFonts w:hint="eastAsia" w:ascii="宋体" w:hAnsi="宋体" w:cs="宋体"/>
          <w:u w:val="single"/>
        </w:rPr>
        <w:t>（盖单位公章）</w:t>
      </w:r>
    </w:p>
    <w:p w14:paraId="1380107A">
      <w:pPr>
        <w:spacing w:line="360" w:lineRule="auto"/>
        <w:ind w:firstLine="1365" w:firstLineChars="650"/>
        <w:rPr>
          <w:rFonts w:ascii="宋体" w:hAnsi="宋体" w:cs="宋体"/>
          <w:u w:val="single"/>
        </w:rPr>
      </w:pPr>
      <w:r>
        <w:rPr>
          <w:rFonts w:hint="eastAsia" w:ascii="宋体" w:hAnsi="宋体" w:cs="宋体"/>
        </w:rPr>
        <w:t>单位地址：</w:t>
      </w:r>
    </w:p>
    <w:p w14:paraId="7594FC96">
      <w:pPr>
        <w:spacing w:line="360" w:lineRule="auto"/>
        <w:ind w:firstLine="1365" w:firstLineChars="650"/>
        <w:rPr>
          <w:rFonts w:ascii="宋体"/>
          <w:u w:val="single"/>
        </w:rPr>
      </w:pPr>
      <w:r>
        <w:rPr>
          <w:rFonts w:hint="eastAsia" w:ascii="宋体" w:hAnsi="宋体" w:cs="宋体"/>
        </w:rPr>
        <w:t>法定代表人或其委托代理人：</w:t>
      </w:r>
      <w:r>
        <w:rPr>
          <w:rFonts w:hint="eastAsia" w:ascii="宋体" w:hAnsi="宋体" w:cs="宋体"/>
          <w:u w:val="single"/>
        </w:rPr>
        <w:t>（签字或盖章）</w:t>
      </w:r>
    </w:p>
    <w:p w14:paraId="0747F9DB">
      <w:pPr>
        <w:spacing w:line="360" w:lineRule="auto"/>
        <w:ind w:left="1000" w:leftChars="476" w:firstLine="424" w:firstLineChars="202"/>
        <w:rPr>
          <w:rFonts w:ascii="宋体"/>
          <w:u w:val="single"/>
        </w:rPr>
      </w:pPr>
      <w:r>
        <w:rPr>
          <w:rFonts w:hint="eastAsia" w:ascii="宋体" w:hAnsi="宋体" w:cs="宋体"/>
        </w:rPr>
        <w:t>邮政编码：</w:t>
      </w:r>
    </w:p>
    <w:p w14:paraId="2A5A27BC">
      <w:pPr>
        <w:spacing w:line="360" w:lineRule="auto"/>
        <w:ind w:left="1000" w:leftChars="476" w:firstLine="424" w:firstLineChars="202"/>
        <w:rPr>
          <w:rFonts w:ascii="宋体"/>
          <w:u w:val="single"/>
        </w:rPr>
      </w:pPr>
      <w:r>
        <w:rPr>
          <w:rFonts w:hint="eastAsia" w:ascii="宋体" w:hAnsi="宋体" w:cs="宋体"/>
        </w:rPr>
        <w:t>电话：</w:t>
      </w:r>
    </w:p>
    <w:p w14:paraId="4677C0C2">
      <w:pPr>
        <w:spacing w:line="360" w:lineRule="auto"/>
        <w:ind w:left="1000" w:leftChars="476" w:firstLine="424" w:firstLineChars="202"/>
        <w:rPr>
          <w:rFonts w:ascii="宋体"/>
        </w:rPr>
      </w:pPr>
      <w:r>
        <w:rPr>
          <w:rFonts w:hint="eastAsia" w:ascii="宋体" w:hAnsi="宋体" w:cs="宋体"/>
        </w:rPr>
        <w:t>传真：</w:t>
      </w:r>
    </w:p>
    <w:p w14:paraId="5C5A78F7">
      <w:pPr>
        <w:spacing w:line="360" w:lineRule="auto"/>
        <w:ind w:firstLine="424" w:firstLineChars="202"/>
        <w:rPr>
          <w:rFonts w:ascii="宋体" w:hAnsi="宋体" w:cs="宋体"/>
        </w:rPr>
      </w:pPr>
    </w:p>
    <w:p w14:paraId="168A0C4D">
      <w:pPr>
        <w:spacing w:line="360" w:lineRule="auto"/>
        <w:ind w:right="420" w:firstLine="424" w:firstLineChars="202"/>
        <w:jc w:val="right"/>
        <w:rPr>
          <w:rFonts w:ascii="宋体"/>
        </w:rPr>
      </w:pPr>
      <w:r>
        <w:rPr>
          <w:rFonts w:hint="eastAsia" w:ascii="宋体" w:hAnsi="宋体" w:cs="宋体"/>
        </w:rPr>
        <w:t>日期：年月日</w:t>
      </w:r>
    </w:p>
    <w:p w14:paraId="357F7F47">
      <w:pPr>
        <w:spacing w:line="480" w:lineRule="auto"/>
        <w:jc w:val="center"/>
        <w:rPr>
          <w:rFonts w:ascii="宋体"/>
          <w:b/>
          <w:bCs/>
          <w:sz w:val="28"/>
          <w:szCs w:val="28"/>
        </w:rPr>
      </w:pPr>
    </w:p>
    <w:p w14:paraId="020E32AD">
      <w:pPr>
        <w:keepNext/>
        <w:keepLines/>
        <w:spacing w:before="100" w:line="400" w:lineRule="exact"/>
        <w:jc w:val="center"/>
        <w:outlineLvl w:val="1"/>
        <w:rPr>
          <w:rFonts w:hint="eastAsia" w:ascii="宋体" w:hAnsi="宋体" w:cs="宋体"/>
          <w:sz w:val="28"/>
          <w:szCs w:val="28"/>
        </w:rPr>
      </w:pPr>
    </w:p>
    <w:p w14:paraId="6D19ABF6">
      <w:pPr>
        <w:keepNext/>
        <w:keepLines/>
        <w:spacing w:before="100" w:line="400" w:lineRule="exact"/>
        <w:jc w:val="center"/>
        <w:outlineLvl w:val="1"/>
        <w:rPr>
          <w:rFonts w:ascii="宋体"/>
          <w:sz w:val="28"/>
          <w:szCs w:val="28"/>
        </w:rPr>
      </w:pPr>
      <w:r>
        <w:rPr>
          <w:rFonts w:hint="eastAsia" w:ascii="宋体" w:hAnsi="宋体" w:cs="宋体"/>
          <w:sz w:val="28"/>
          <w:szCs w:val="28"/>
        </w:rPr>
        <w:t>法定代表人身份证明</w:t>
      </w:r>
    </w:p>
    <w:p w14:paraId="36A75008">
      <w:pPr>
        <w:spacing w:line="560" w:lineRule="exact"/>
        <w:ind w:firstLine="525" w:firstLineChars="250"/>
        <w:rPr>
          <w:rFonts w:ascii="宋体"/>
        </w:rPr>
      </w:pPr>
      <w:r>
        <w:rPr>
          <w:rFonts w:hint="eastAsia" w:ascii="宋体" w:hAnsi="宋体" w:cs="宋体"/>
        </w:rPr>
        <w:t>投标人：</w:t>
      </w:r>
    </w:p>
    <w:p w14:paraId="65890B57">
      <w:pPr>
        <w:spacing w:line="560" w:lineRule="exact"/>
        <w:ind w:firstLine="525" w:firstLineChars="250"/>
        <w:rPr>
          <w:rFonts w:ascii="宋体"/>
        </w:rPr>
      </w:pPr>
      <w:r>
        <w:rPr>
          <w:rFonts w:hint="eastAsia" w:ascii="宋体" w:hAnsi="宋体" w:cs="宋体"/>
        </w:rPr>
        <w:t>单位性质：</w:t>
      </w:r>
    </w:p>
    <w:p w14:paraId="08B84740">
      <w:pPr>
        <w:spacing w:line="560" w:lineRule="exact"/>
        <w:ind w:firstLine="525" w:firstLineChars="250"/>
        <w:rPr>
          <w:rFonts w:ascii="宋体"/>
        </w:rPr>
      </w:pPr>
      <w:r>
        <w:rPr>
          <w:rFonts w:hint="eastAsia" w:ascii="宋体" w:hAnsi="宋体" w:cs="宋体"/>
        </w:rPr>
        <w:t>地址：</w:t>
      </w:r>
    </w:p>
    <w:p w14:paraId="0E2C0BD7">
      <w:pPr>
        <w:spacing w:line="560" w:lineRule="exact"/>
        <w:ind w:firstLine="525" w:firstLineChars="250"/>
        <w:rPr>
          <w:rFonts w:ascii="宋体"/>
        </w:rPr>
      </w:pPr>
      <w:r>
        <w:rPr>
          <w:rFonts w:hint="eastAsia" w:ascii="宋体" w:hAnsi="宋体" w:cs="宋体"/>
        </w:rPr>
        <w:t>成立时间：</w:t>
      </w:r>
    </w:p>
    <w:p w14:paraId="763BFA8A">
      <w:pPr>
        <w:spacing w:line="560" w:lineRule="exact"/>
        <w:ind w:firstLine="525" w:firstLineChars="250"/>
        <w:rPr>
          <w:rFonts w:ascii="宋体"/>
        </w:rPr>
      </w:pPr>
      <w:r>
        <w:rPr>
          <w:rFonts w:hint="eastAsia" w:ascii="宋体" w:hAnsi="宋体" w:cs="宋体"/>
        </w:rPr>
        <w:t>经营期限：</w:t>
      </w:r>
    </w:p>
    <w:p w14:paraId="549E83A9">
      <w:pPr>
        <w:spacing w:line="560" w:lineRule="exact"/>
        <w:ind w:firstLine="525" w:firstLineChars="250"/>
        <w:rPr>
          <w:rFonts w:ascii="宋体"/>
        </w:rPr>
      </w:pPr>
      <w:r>
        <w:rPr>
          <w:rFonts w:hint="eastAsia" w:ascii="宋体" w:hAnsi="宋体" w:cs="宋体"/>
        </w:rPr>
        <w:t>姓名：                                      性别：</w:t>
      </w:r>
    </w:p>
    <w:p w14:paraId="32B6B0D5">
      <w:pPr>
        <w:spacing w:line="560" w:lineRule="exact"/>
        <w:ind w:firstLine="525" w:firstLineChars="250"/>
        <w:rPr>
          <w:rFonts w:ascii="宋体"/>
        </w:rPr>
      </w:pPr>
      <w:r>
        <w:rPr>
          <w:rFonts w:hint="eastAsia" w:ascii="宋体" w:hAnsi="宋体" w:cs="宋体"/>
        </w:rPr>
        <w:t>年龄：                                      职务：</w:t>
      </w:r>
    </w:p>
    <w:p w14:paraId="446C832A">
      <w:pPr>
        <w:spacing w:line="560" w:lineRule="exact"/>
        <w:ind w:firstLine="525" w:firstLineChars="250"/>
        <w:rPr>
          <w:rFonts w:ascii="宋体"/>
        </w:rPr>
      </w:pPr>
      <w:r>
        <w:rPr>
          <w:rFonts w:hint="eastAsia" w:ascii="宋体" w:hAnsi="宋体" w:cs="宋体"/>
        </w:rPr>
        <w:t>系（投标人名称）的法定代表人。</w:t>
      </w:r>
    </w:p>
    <w:p w14:paraId="698DC6C7">
      <w:pPr>
        <w:spacing w:line="560" w:lineRule="exact"/>
        <w:ind w:firstLine="525" w:firstLineChars="250"/>
        <w:rPr>
          <w:rFonts w:ascii="宋体"/>
        </w:rPr>
      </w:pPr>
      <w:r>
        <w:rPr>
          <w:rFonts w:hint="eastAsia" w:ascii="宋体" w:hAnsi="宋体" w:cs="宋体"/>
        </w:rPr>
        <w:t>特此证明。</w:t>
      </w:r>
    </w:p>
    <w:p w14:paraId="3A197E42">
      <w:pPr>
        <w:wordWrap w:val="0"/>
        <w:spacing w:line="500" w:lineRule="exact"/>
        <w:jc w:val="right"/>
        <w:rPr>
          <w:rFonts w:ascii="宋体"/>
        </w:rPr>
      </w:pPr>
      <w:r>
        <w:rPr>
          <w:rFonts w:hint="eastAsia" w:ascii="宋体" w:hAnsi="宋体" w:cs="宋体"/>
        </w:rPr>
        <w:t>投标人：（盖单位章）</w:t>
      </w:r>
    </w:p>
    <w:p w14:paraId="300C642C">
      <w:pPr>
        <w:wordWrap w:val="0"/>
        <w:spacing w:line="500" w:lineRule="exact"/>
        <w:jc w:val="right"/>
        <w:rPr>
          <w:rFonts w:hint="eastAsia" w:ascii="宋体" w:hAnsi="宋体" w:cs="宋体"/>
        </w:rPr>
      </w:pPr>
      <w:r>
        <w:rPr>
          <w:rFonts w:hint="eastAsia" w:ascii="宋体" w:hAnsi="宋体" w:cs="宋体"/>
        </w:rPr>
        <w:t>年月日</w:t>
      </w:r>
    </w:p>
    <w:p w14:paraId="5457B9BF">
      <w:pPr>
        <w:wordWrap/>
        <w:spacing w:line="500" w:lineRule="exact"/>
        <w:jc w:val="both"/>
        <w:rPr>
          <w:rFonts w:hint="eastAsia" w:ascii="宋体" w:hAnsi="宋体" w:eastAsia="宋体" w:cs="宋体"/>
          <w:lang w:eastAsia="zh-CN"/>
        </w:rPr>
      </w:pPr>
      <w:r>
        <w:rPr>
          <w:rFonts w:hint="eastAsia" w:ascii="宋体" w:hAnsi="宋体" w:cs="宋体"/>
          <w:lang w:eastAsia="zh-CN"/>
        </w:rPr>
        <w:t>注：须提供法定代表人身份证复印件附后。</w:t>
      </w:r>
    </w:p>
    <w:p w14:paraId="49AA1163">
      <w:pPr>
        <w:spacing w:line="480" w:lineRule="auto"/>
        <w:ind w:firstLine="525" w:firstLineChars="250"/>
        <w:jc w:val="center"/>
        <w:rPr>
          <w:rFonts w:ascii="宋体"/>
        </w:rPr>
      </w:pPr>
    </w:p>
    <w:p w14:paraId="567E1415">
      <w:pPr>
        <w:spacing w:line="480" w:lineRule="auto"/>
        <w:jc w:val="center"/>
        <w:rPr>
          <w:rFonts w:hint="eastAsia" w:ascii="宋体" w:hAnsi="宋体" w:cs="宋体"/>
          <w:sz w:val="28"/>
          <w:szCs w:val="28"/>
        </w:rPr>
      </w:pPr>
      <w:bookmarkStart w:id="165" w:name="_Toc144974861"/>
      <w:bookmarkStart w:id="166" w:name="_Toc179632812"/>
      <w:bookmarkStart w:id="167" w:name="_Toc152045792"/>
      <w:bookmarkStart w:id="168" w:name="_Toc152042581"/>
    </w:p>
    <w:p w14:paraId="3CDBAB6C">
      <w:pPr>
        <w:spacing w:line="480" w:lineRule="auto"/>
        <w:jc w:val="center"/>
        <w:rPr>
          <w:rFonts w:hint="eastAsia" w:ascii="宋体" w:hAnsi="宋体" w:cs="宋体"/>
          <w:sz w:val="28"/>
          <w:szCs w:val="28"/>
        </w:rPr>
      </w:pPr>
    </w:p>
    <w:p w14:paraId="4F616EC3">
      <w:pPr>
        <w:spacing w:line="480" w:lineRule="auto"/>
        <w:jc w:val="center"/>
        <w:rPr>
          <w:rFonts w:hint="eastAsia" w:ascii="宋体" w:hAnsi="宋体" w:cs="宋体"/>
          <w:sz w:val="28"/>
          <w:szCs w:val="28"/>
        </w:rPr>
      </w:pPr>
    </w:p>
    <w:p w14:paraId="181CDC64">
      <w:pPr>
        <w:spacing w:line="480" w:lineRule="auto"/>
        <w:jc w:val="center"/>
        <w:rPr>
          <w:rFonts w:hint="eastAsia" w:ascii="宋体" w:hAnsi="宋体" w:cs="宋体"/>
          <w:sz w:val="28"/>
          <w:szCs w:val="28"/>
        </w:rPr>
      </w:pPr>
    </w:p>
    <w:p w14:paraId="12B57103">
      <w:pPr>
        <w:spacing w:line="480" w:lineRule="auto"/>
        <w:jc w:val="center"/>
        <w:rPr>
          <w:rFonts w:hint="eastAsia" w:ascii="宋体" w:hAnsi="宋体" w:cs="宋体"/>
          <w:sz w:val="28"/>
          <w:szCs w:val="28"/>
        </w:rPr>
      </w:pPr>
    </w:p>
    <w:p w14:paraId="51D30BAF">
      <w:pPr>
        <w:spacing w:line="480" w:lineRule="auto"/>
        <w:jc w:val="center"/>
        <w:rPr>
          <w:rFonts w:hint="eastAsia" w:ascii="宋体" w:hAnsi="宋体" w:cs="宋体"/>
          <w:sz w:val="28"/>
          <w:szCs w:val="28"/>
        </w:rPr>
      </w:pPr>
    </w:p>
    <w:p w14:paraId="1C4C56F1">
      <w:pPr>
        <w:spacing w:line="480" w:lineRule="auto"/>
        <w:jc w:val="center"/>
        <w:rPr>
          <w:rFonts w:hint="eastAsia" w:ascii="宋体" w:hAnsi="宋体" w:cs="宋体"/>
          <w:sz w:val="28"/>
          <w:szCs w:val="28"/>
        </w:rPr>
      </w:pPr>
    </w:p>
    <w:p w14:paraId="4DE90028">
      <w:pPr>
        <w:spacing w:line="480" w:lineRule="auto"/>
        <w:jc w:val="center"/>
        <w:rPr>
          <w:rFonts w:hint="eastAsia" w:ascii="宋体" w:hAnsi="宋体" w:cs="宋体"/>
          <w:sz w:val="28"/>
          <w:szCs w:val="28"/>
        </w:rPr>
      </w:pPr>
    </w:p>
    <w:p w14:paraId="54004DB1">
      <w:pPr>
        <w:spacing w:line="480" w:lineRule="auto"/>
        <w:jc w:val="center"/>
        <w:rPr>
          <w:rFonts w:hint="eastAsia" w:ascii="宋体" w:hAnsi="宋体" w:cs="宋体"/>
          <w:sz w:val="28"/>
          <w:szCs w:val="28"/>
        </w:rPr>
      </w:pPr>
    </w:p>
    <w:p w14:paraId="6A3F499D">
      <w:pPr>
        <w:spacing w:line="480" w:lineRule="auto"/>
        <w:jc w:val="center"/>
        <w:rPr>
          <w:rFonts w:hint="eastAsia" w:ascii="宋体" w:hAnsi="宋体" w:cs="宋体"/>
          <w:sz w:val="28"/>
          <w:szCs w:val="28"/>
        </w:rPr>
      </w:pPr>
    </w:p>
    <w:p w14:paraId="0654F114">
      <w:pPr>
        <w:spacing w:line="480" w:lineRule="auto"/>
        <w:jc w:val="center"/>
        <w:rPr>
          <w:rFonts w:hint="eastAsia" w:ascii="宋体" w:hAnsi="宋体" w:cs="宋体"/>
          <w:sz w:val="28"/>
          <w:szCs w:val="28"/>
        </w:rPr>
      </w:pPr>
    </w:p>
    <w:p w14:paraId="67B4FA1E">
      <w:pPr>
        <w:spacing w:line="480" w:lineRule="auto"/>
        <w:jc w:val="center"/>
        <w:rPr>
          <w:rFonts w:hint="eastAsia" w:ascii="宋体" w:hAnsi="宋体" w:cs="宋体"/>
          <w:sz w:val="28"/>
          <w:szCs w:val="28"/>
        </w:rPr>
      </w:pPr>
    </w:p>
    <w:p w14:paraId="4CA15AD4">
      <w:pPr>
        <w:spacing w:line="480" w:lineRule="auto"/>
        <w:jc w:val="center"/>
        <w:rPr>
          <w:rFonts w:hint="eastAsia" w:ascii="宋体" w:hAnsi="宋体" w:cs="宋体"/>
          <w:sz w:val="28"/>
          <w:szCs w:val="28"/>
        </w:rPr>
      </w:pPr>
    </w:p>
    <w:p w14:paraId="0736B3B2">
      <w:pPr>
        <w:spacing w:line="480" w:lineRule="auto"/>
        <w:jc w:val="center"/>
        <w:rPr>
          <w:rFonts w:ascii="宋体"/>
          <w:sz w:val="28"/>
          <w:szCs w:val="28"/>
        </w:rPr>
      </w:pPr>
      <w:r>
        <w:rPr>
          <w:rFonts w:hint="eastAsia" w:ascii="宋体" w:hAnsi="宋体" w:cs="宋体"/>
          <w:sz w:val="28"/>
          <w:szCs w:val="28"/>
        </w:rPr>
        <w:t>授权委托书</w:t>
      </w:r>
      <w:bookmarkEnd w:id="165"/>
      <w:bookmarkEnd w:id="166"/>
      <w:bookmarkEnd w:id="167"/>
      <w:bookmarkEnd w:id="168"/>
    </w:p>
    <w:p w14:paraId="17E32833">
      <w:pPr>
        <w:topLinePunct/>
        <w:spacing w:line="440" w:lineRule="exact"/>
        <w:ind w:firstLine="420" w:firstLineChars="200"/>
        <w:rPr>
          <w:rFonts w:ascii="宋体"/>
        </w:rPr>
      </w:pPr>
      <w:r>
        <w:rPr>
          <w:rFonts w:hint="eastAsia" w:ascii="宋体" w:hAnsi="宋体" w:cs="宋体"/>
        </w:rPr>
        <w:t>本人（姓名）系（投标人名称）的法定代表人，现委托（姓名）为我方代理人。代理人根据授权，以我方名义签署、澄清、说明、补正、递交、撤回、修改（项目名称）标段施工投标文件、签订合同和处理有关事宜，其法律后果由我方承担。</w:t>
      </w:r>
    </w:p>
    <w:p w14:paraId="5DA27A8E">
      <w:pPr>
        <w:spacing w:line="440" w:lineRule="exact"/>
        <w:rPr>
          <w:rFonts w:ascii="宋体"/>
        </w:rPr>
      </w:pPr>
      <w:r>
        <w:rPr>
          <w:rFonts w:hint="eastAsia" w:ascii="宋体" w:hAnsi="宋体" w:cs="宋体"/>
        </w:rPr>
        <w:t>委托期限：。</w:t>
      </w:r>
    </w:p>
    <w:p w14:paraId="4E572506">
      <w:pPr>
        <w:spacing w:line="440" w:lineRule="exact"/>
        <w:ind w:firstLine="420" w:firstLineChars="200"/>
        <w:rPr>
          <w:rFonts w:ascii="宋体"/>
        </w:rPr>
      </w:pPr>
      <w:r>
        <w:rPr>
          <w:rFonts w:hint="eastAsia" w:ascii="宋体" w:hAnsi="宋体" w:cs="宋体"/>
        </w:rPr>
        <w:t>代理人无转委托权。</w:t>
      </w:r>
    </w:p>
    <w:p w14:paraId="4FF0E573">
      <w:pPr>
        <w:spacing w:line="440" w:lineRule="exact"/>
        <w:ind w:firstLine="420" w:firstLineChars="200"/>
        <w:rPr>
          <w:rFonts w:ascii="宋体"/>
        </w:rPr>
      </w:pPr>
      <w:r>
        <w:rPr>
          <w:rFonts w:hint="eastAsia" w:ascii="宋体" w:hAnsi="宋体" w:cs="宋体"/>
        </w:rPr>
        <w:t>附：法定代表人身份证明</w:t>
      </w:r>
    </w:p>
    <w:p w14:paraId="6C84DFC2">
      <w:pPr>
        <w:spacing w:line="440" w:lineRule="exact"/>
        <w:rPr>
          <w:rFonts w:ascii="宋体"/>
        </w:rPr>
      </w:pPr>
      <w:r>
        <w:rPr>
          <w:rFonts w:hint="eastAsia" w:ascii="宋体" w:hAnsi="宋体" w:cs="宋体"/>
        </w:rPr>
        <w:t>投标人：（盖单位章）</w:t>
      </w:r>
    </w:p>
    <w:p w14:paraId="2B33D134">
      <w:pPr>
        <w:spacing w:line="440" w:lineRule="exact"/>
        <w:rPr>
          <w:rFonts w:ascii="宋体"/>
        </w:rPr>
      </w:pPr>
      <w:r>
        <w:rPr>
          <w:rFonts w:hint="eastAsia" w:ascii="宋体" w:hAnsi="宋体" w:cs="宋体"/>
        </w:rPr>
        <w:t>法定代表人：（签字）</w:t>
      </w:r>
    </w:p>
    <w:p w14:paraId="5341C8FD">
      <w:pPr>
        <w:spacing w:line="440" w:lineRule="exact"/>
        <w:rPr>
          <w:rFonts w:ascii="宋体"/>
        </w:rPr>
      </w:pPr>
      <w:r>
        <w:rPr>
          <w:rFonts w:hint="eastAsia" w:ascii="宋体" w:hAnsi="宋体" w:cs="宋体"/>
        </w:rPr>
        <w:t>身份证号码：</w:t>
      </w:r>
    </w:p>
    <w:p w14:paraId="206252C2">
      <w:pPr>
        <w:spacing w:line="440" w:lineRule="exact"/>
        <w:rPr>
          <w:rFonts w:ascii="宋体" w:hAnsi="宋体" w:cs="宋体"/>
        </w:rPr>
      </w:pPr>
      <w:r>
        <w:rPr>
          <w:rFonts w:hint="eastAsia" w:ascii="宋体" w:hAnsi="宋体" w:cs="宋体"/>
        </w:rPr>
        <w:t>委托代理人：（签字）</w:t>
      </w:r>
    </w:p>
    <w:p w14:paraId="5F80684E">
      <w:pPr>
        <w:spacing w:line="440" w:lineRule="exact"/>
        <w:rPr>
          <w:rFonts w:ascii="宋体"/>
        </w:rPr>
      </w:pPr>
      <w:r>
        <w:rPr>
          <w:rFonts w:hint="eastAsia" w:ascii="宋体" w:hAnsi="宋体" w:cs="宋体"/>
        </w:rPr>
        <w:t>身份证号码：</w:t>
      </w:r>
    </w:p>
    <w:p w14:paraId="1351B8E7">
      <w:pPr>
        <w:spacing w:line="440" w:lineRule="exact"/>
        <w:rPr>
          <w:rFonts w:ascii="宋体"/>
        </w:rPr>
      </w:pPr>
    </w:p>
    <w:p w14:paraId="314C4482">
      <w:pPr>
        <w:spacing w:beforeLines="50" w:afterLines="100" w:line="440" w:lineRule="exact"/>
        <w:jc w:val="right"/>
        <w:rPr>
          <w:rFonts w:hint="eastAsia" w:ascii="宋体" w:hAnsi="宋体" w:cs="宋体"/>
        </w:rPr>
      </w:pPr>
      <w:r>
        <w:rPr>
          <w:rFonts w:hint="eastAsia" w:ascii="宋体" w:hAnsi="宋体" w:cs="宋体"/>
        </w:rPr>
        <w:t>年月日</w:t>
      </w:r>
    </w:p>
    <w:p w14:paraId="448FF0F0">
      <w:pPr>
        <w:spacing w:beforeLines="50" w:afterLines="100" w:line="440" w:lineRule="exact"/>
        <w:jc w:val="left"/>
        <w:rPr>
          <w:rFonts w:hint="eastAsia" w:ascii="宋体" w:hAnsi="宋体" w:eastAsia="宋体" w:cs="宋体"/>
          <w:lang w:eastAsia="zh-CN"/>
        </w:rPr>
      </w:pPr>
      <w:r>
        <w:rPr>
          <w:rFonts w:hint="eastAsia" w:ascii="宋体" w:hAnsi="宋体" w:cs="宋体"/>
          <w:lang w:eastAsia="zh-CN"/>
        </w:rPr>
        <w:t>注：须提供授权委托人身份证复印件附后。</w:t>
      </w:r>
    </w:p>
    <w:bookmarkEnd w:id="156"/>
    <w:bookmarkEnd w:id="157"/>
    <w:bookmarkEnd w:id="158"/>
    <w:p w14:paraId="5804D5DB">
      <w:pPr>
        <w:keepNext/>
        <w:keepLines/>
        <w:spacing w:before="100" w:line="400" w:lineRule="exact"/>
        <w:jc w:val="center"/>
        <w:outlineLvl w:val="1"/>
        <w:rPr>
          <w:rFonts w:hint="eastAsia" w:ascii="宋体" w:hAnsi="宋体" w:cs="宋体"/>
          <w:sz w:val="28"/>
          <w:szCs w:val="28"/>
        </w:rPr>
      </w:pPr>
    </w:p>
    <w:p w14:paraId="3CBF35FF">
      <w:pPr>
        <w:keepNext/>
        <w:keepLines/>
        <w:spacing w:before="100" w:line="400" w:lineRule="exact"/>
        <w:jc w:val="both"/>
        <w:outlineLvl w:val="1"/>
        <w:rPr>
          <w:rFonts w:hint="eastAsia" w:ascii="宋体" w:hAnsi="宋体" w:cs="宋体"/>
          <w:sz w:val="28"/>
          <w:szCs w:val="28"/>
        </w:rPr>
      </w:pPr>
    </w:p>
    <w:p w14:paraId="7B5C5D97">
      <w:pPr>
        <w:keepNext/>
        <w:keepLines/>
        <w:spacing w:before="100" w:line="400" w:lineRule="exact"/>
        <w:jc w:val="both"/>
        <w:outlineLvl w:val="1"/>
        <w:rPr>
          <w:rFonts w:hint="eastAsia" w:ascii="宋体" w:hAnsi="宋体" w:cs="宋体"/>
          <w:sz w:val="28"/>
          <w:szCs w:val="28"/>
        </w:rPr>
      </w:pPr>
    </w:p>
    <w:p w14:paraId="63E65B40">
      <w:pPr>
        <w:keepNext/>
        <w:keepLines/>
        <w:spacing w:before="100" w:line="400" w:lineRule="exact"/>
        <w:jc w:val="both"/>
        <w:outlineLvl w:val="1"/>
        <w:rPr>
          <w:rFonts w:hint="eastAsia" w:ascii="宋体" w:hAnsi="宋体" w:cs="宋体"/>
          <w:sz w:val="28"/>
          <w:szCs w:val="28"/>
        </w:rPr>
      </w:pPr>
    </w:p>
    <w:p w14:paraId="010A711F">
      <w:pPr>
        <w:keepNext/>
        <w:keepLines/>
        <w:spacing w:before="100" w:line="400" w:lineRule="exact"/>
        <w:jc w:val="center"/>
        <w:outlineLvl w:val="1"/>
        <w:rPr>
          <w:rFonts w:hint="eastAsia" w:ascii="宋体" w:hAnsi="宋体" w:cs="宋体"/>
          <w:sz w:val="28"/>
          <w:szCs w:val="28"/>
        </w:rPr>
      </w:pPr>
    </w:p>
    <w:p w14:paraId="403BB679">
      <w:pPr>
        <w:keepNext/>
        <w:keepLines/>
        <w:spacing w:before="100" w:line="400" w:lineRule="exact"/>
        <w:jc w:val="center"/>
        <w:outlineLvl w:val="1"/>
        <w:rPr>
          <w:rFonts w:hint="eastAsia" w:ascii="宋体" w:hAnsi="宋体" w:cs="宋体"/>
          <w:sz w:val="28"/>
          <w:szCs w:val="28"/>
        </w:rPr>
      </w:pPr>
    </w:p>
    <w:p w14:paraId="3FD1236A">
      <w:pPr>
        <w:keepNext/>
        <w:keepLines/>
        <w:spacing w:before="100" w:line="400" w:lineRule="exact"/>
        <w:jc w:val="both"/>
        <w:outlineLvl w:val="1"/>
        <w:rPr>
          <w:rFonts w:hint="eastAsia" w:ascii="宋体" w:hAnsi="宋体" w:cs="宋体"/>
          <w:sz w:val="28"/>
          <w:szCs w:val="28"/>
        </w:rPr>
      </w:pPr>
    </w:p>
    <w:p w14:paraId="17C5EE49">
      <w:pPr>
        <w:keepNext/>
        <w:keepLines/>
        <w:spacing w:before="100" w:line="400" w:lineRule="exact"/>
        <w:jc w:val="center"/>
        <w:outlineLvl w:val="1"/>
        <w:rPr>
          <w:rFonts w:hint="eastAsia" w:ascii="宋体" w:hAnsi="宋体" w:cs="宋体"/>
          <w:sz w:val="28"/>
          <w:szCs w:val="28"/>
        </w:rPr>
      </w:pPr>
    </w:p>
    <w:p w14:paraId="380C371E">
      <w:pPr>
        <w:keepNext/>
        <w:keepLines/>
        <w:spacing w:before="100" w:line="400" w:lineRule="exact"/>
        <w:jc w:val="both"/>
        <w:outlineLvl w:val="1"/>
        <w:rPr>
          <w:rFonts w:hint="eastAsia" w:ascii="宋体" w:hAnsi="宋体" w:cs="宋体"/>
          <w:sz w:val="28"/>
          <w:szCs w:val="28"/>
        </w:rPr>
      </w:pPr>
    </w:p>
    <w:p w14:paraId="7B001DFC">
      <w:pPr>
        <w:keepNext/>
        <w:keepLines/>
        <w:spacing w:before="100" w:line="400" w:lineRule="exact"/>
        <w:jc w:val="both"/>
        <w:outlineLvl w:val="1"/>
        <w:rPr>
          <w:rFonts w:hint="eastAsia" w:ascii="宋体" w:hAnsi="宋体" w:cs="宋体"/>
          <w:sz w:val="28"/>
          <w:szCs w:val="28"/>
        </w:rPr>
      </w:pPr>
    </w:p>
    <w:p w14:paraId="7BDB0E77">
      <w:pPr>
        <w:spacing w:line="480" w:lineRule="auto"/>
        <w:ind w:firstLine="525" w:firstLineChars="250"/>
        <w:jc w:val="left"/>
        <w:rPr>
          <w:rFonts w:ascii="宋体"/>
        </w:rPr>
      </w:pPr>
    </w:p>
    <w:p w14:paraId="676B0A96">
      <w:pPr>
        <w:spacing w:line="480" w:lineRule="auto"/>
        <w:ind w:firstLine="525" w:firstLineChars="250"/>
        <w:jc w:val="left"/>
        <w:rPr>
          <w:rFonts w:ascii="宋体"/>
        </w:rPr>
      </w:pPr>
    </w:p>
    <w:p w14:paraId="01A21BBE">
      <w:pPr>
        <w:keepNext/>
        <w:keepLines/>
        <w:spacing w:before="100" w:line="400" w:lineRule="exact"/>
        <w:jc w:val="center"/>
        <w:outlineLvl w:val="1"/>
        <w:rPr>
          <w:rFonts w:ascii="宋体"/>
          <w:sz w:val="28"/>
          <w:szCs w:val="28"/>
        </w:rPr>
      </w:pPr>
      <w:r>
        <w:rPr>
          <w:rFonts w:hint="eastAsia" w:ascii="宋体" w:hAnsi="宋体" w:cs="宋体"/>
          <w:sz w:val="28"/>
          <w:szCs w:val="28"/>
        </w:rPr>
        <w:t>投标人基本情况表</w:t>
      </w:r>
    </w:p>
    <w:tbl>
      <w:tblPr>
        <w:tblStyle w:val="51"/>
        <w:tblW w:w="8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14:paraId="73F29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626" w:type="dxa"/>
            <w:vAlign w:val="center"/>
          </w:tcPr>
          <w:p w14:paraId="250B699F">
            <w:pPr>
              <w:jc w:val="center"/>
              <w:rPr>
                <w:rFonts w:ascii="宋体"/>
              </w:rPr>
            </w:pPr>
            <w:r>
              <w:rPr>
                <w:rFonts w:hint="eastAsia" w:ascii="宋体" w:hAnsi="宋体" w:cs="宋体"/>
              </w:rPr>
              <w:t>投标人名称</w:t>
            </w:r>
          </w:p>
        </w:tc>
        <w:tc>
          <w:tcPr>
            <w:tcW w:w="7341" w:type="dxa"/>
            <w:gridSpan w:val="8"/>
            <w:vAlign w:val="center"/>
          </w:tcPr>
          <w:p w14:paraId="7ED8F169">
            <w:pPr>
              <w:jc w:val="center"/>
              <w:rPr>
                <w:rFonts w:ascii="宋体"/>
              </w:rPr>
            </w:pPr>
          </w:p>
        </w:tc>
      </w:tr>
      <w:tr w14:paraId="2555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24B660B7">
            <w:pPr>
              <w:jc w:val="center"/>
              <w:rPr>
                <w:rFonts w:ascii="宋体"/>
              </w:rPr>
            </w:pPr>
            <w:r>
              <w:rPr>
                <w:rFonts w:hint="eastAsia" w:ascii="宋体" w:hAnsi="宋体" w:cs="宋体"/>
              </w:rPr>
              <w:t>注册地址</w:t>
            </w:r>
          </w:p>
        </w:tc>
        <w:tc>
          <w:tcPr>
            <w:tcW w:w="3389" w:type="dxa"/>
            <w:gridSpan w:val="4"/>
            <w:vAlign w:val="center"/>
          </w:tcPr>
          <w:p w14:paraId="16F6D1B8">
            <w:pPr>
              <w:jc w:val="center"/>
              <w:rPr>
                <w:rFonts w:ascii="宋体"/>
              </w:rPr>
            </w:pPr>
          </w:p>
        </w:tc>
        <w:tc>
          <w:tcPr>
            <w:tcW w:w="1246" w:type="dxa"/>
            <w:vAlign w:val="center"/>
          </w:tcPr>
          <w:p w14:paraId="0E7B7E5C">
            <w:pPr>
              <w:jc w:val="center"/>
              <w:rPr>
                <w:rFonts w:ascii="宋体"/>
              </w:rPr>
            </w:pPr>
            <w:r>
              <w:rPr>
                <w:rFonts w:hint="eastAsia" w:ascii="宋体" w:hAnsi="宋体" w:cs="宋体"/>
              </w:rPr>
              <w:t>邮政编码</w:t>
            </w:r>
          </w:p>
        </w:tc>
        <w:tc>
          <w:tcPr>
            <w:tcW w:w="2706" w:type="dxa"/>
            <w:gridSpan w:val="3"/>
            <w:vAlign w:val="center"/>
          </w:tcPr>
          <w:p w14:paraId="79CE58F5">
            <w:pPr>
              <w:jc w:val="center"/>
              <w:rPr>
                <w:rFonts w:ascii="宋体"/>
              </w:rPr>
            </w:pPr>
          </w:p>
        </w:tc>
      </w:tr>
      <w:tr w14:paraId="14BB4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restart"/>
            <w:vAlign w:val="center"/>
          </w:tcPr>
          <w:p w14:paraId="4F7CC139">
            <w:pPr>
              <w:jc w:val="center"/>
              <w:rPr>
                <w:rFonts w:ascii="宋体"/>
              </w:rPr>
            </w:pPr>
            <w:r>
              <w:rPr>
                <w:rFonts w:hint="eastAsia" w:ascii="宋体" w:hAnsi="宋体" w:cs="宋体"/>
              </w:rPr>
              <w:t>联系方式</w:t>
            </w:r>
          </w:p>
        </w:tc>
        <w:tc>
          <w:tcPr>
            <w:tcW w:w="897" w:type="dxa"/>
            <w:vAlign w:val="center"/>
          </w:tcPr>
          <w:p w14:paraId="5D797697">
            <w:pPr>
              <w:jc w:val="center"/>
              <w:rPr>
                <w:rFonts w:ascii="宋体"/>
              </w:rPr>
            </w:pPr>
            <w:r>
              <w:rPr>
                <w:rFonts w:hint="eastAsia" w:ascii="宋体" w:hAnsi="宋体" w:cs="宋体"/>
              </w:rPr>
              <w:t>联系人</w:t>
            </w:r>
          </w:p>
        </w:tc>
        <w:tc>
          <w:tcPr>
            <w:tcW w:w="2492" w:type="dxa"/>
            <w:gridSpan w:val="3"/>
            <w:vAlign w:val="center"/>
          </w:tcPr>
          <w:p w14:paraId="2B7B59BA">
            <w:pPr>
              <w:jc w:val="center"/>
              <w:rPr>
                <w:rFonts w:ascii="宋体"/>
              </w:rPr>
            </w:pPr>
          </w:p>
        </w:tc>
        <w:tc>
          <w:tcPr>
            <w:tcW w:w="1246" w:type="dxa"/>
            <w:vAlign w:val="center"/>
          </w:tcPr>
          <w:p w14:paraId="1C5068DB">
            <w:pPr>
              <w:jc w:val="center"/>
              <w:rPr>
                <w:rFonts w:ascii="宋体"/>
              </w:rPr>
            </w:pPr>
            <w:r>
              <w:rPr>
                <w:rFonts w:hint="eastAsia" w:ascii="宋体" w:hAnsi="宋体" w:cs="宋体"/>
              </w:rPr>
              <w:t>电话</w:t>
            </w:r>
          </w:p>
        </w:tc>
        <w:tc>
          <w:tcPr>
            <w:tcW w:w="2706" w:type="dxa"/>
            <w:gridSpan w:val="3"/>
            <w:vAlign w:val="center"/>
          </w:tcPr>
          <w:p w14:paraId="47DFA2CB">
            <w:pPr>
              <w:jc w:val="center"/>
              <w:rPr>
                <w:rFonts w:ascii="宋体"/>
              </w:rPr>
            </w:pPr>
          </w:p>
        </w:tc>
      </w:tr>
      <w:tr w14:paraId="6AEBE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continue"/>
            <w:vAlign w:val="center"/>
          </w:tcPr>
          <w:p w14:paraId="72184D13">
            <w:pPr>
              <w:jc w:val="center"/>
              <w:rPr>
                <w:rFonts w:ascii="宋体"/>
              </w:rPr>
            </w:pPr>
          </w:p>
        </w:tc>
        <w:tc>
          <w:tcPr>
            <w:tcW w:w="897" w:type="dxa"/>
            <w:vAlign w:val="center"/>
          </w:tcPr>
          <w:p w14:paraId="04BFA3D0">
            <w:pPr>
              <w:jc w:val="center"/>
              <w:rPr>
                <w:rFonts w:ascii="宋体"/>
              </w:rPr>
            </w:pPr>
            <w:r>
              <w:rPr>
                <w:rFonts w:hint="eastAsia" w:ascii="宋体" w:hAnsi="宋体" w:cs="宋体"/>
              </w:rPr>
              <w:t>传真</w:t>
            </w:r>
          </w:p>
        </w:tc>
        <w:tc>
          <w:tcPr>
            <w:tcW w:w="2492" w:type="dxa"/>
            <w:gridSpan w:val="3"/>
            <w:vAlign w:val="center"/>
          </w:tcPr>
          <w:p w14:paraId="5CC36652">
            <w:pPr>
              <w:jc w:val="center"/>
              <w:rPr>
                <w:rFonts w:ascii="宋体"/>
              </w:rPr>
            </w:pPr>
          </w:p>
        </w:tc>
        <w:tc>
          <w:tcPr>
            <w:tcW w:w="1246" w:type="dxa"/>
            <w:vAlign w:val="center"/>
          </w:tcPr>
          <w:p w14:paraId="380432AC">
            <w:pPr>
              <w:jc w:val="center"/>
              <w:rPr>
                <w:rFonts w:ascii="宋体"/>
              </w:rPr>
            </w:pPr>
            <w:r>
              <w:rPr>
                <w:rFonts w:hint="eastAsia" w:ascii="宋体" w:hAnsi="宋体" w:cs="宋体"/>
              </w:rPr>
              <w:t>网址</w:t>
            </w:r>
          </w:p>
        </w:tc>
        <w:tc>
          <w:tcPr>
            <w:tcW w:w="2706" w:type="dxa"/>
            <w:gridSpan w:val="3"/>
            <w:vAlign w:val="center"/>
          </w:tcPr>
          <w:p w14:paraId="686F0E75">
            <w:pPr>
              <w:jc w:val="center"/>
              <w:rPr>
                <w:rFonts w:ascii="宋体"/>
              </w:rPr>
            </w:pPr>
          </w:p>
        </w:tc>
      </w:tr>
      <w:tr w14:paraId="4E52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39AB58BF">
            <w:pPr>
              <w:jc w:val="center"/>
              <w:rPr>
                <w:rFonts w:ascii="宋体"/>
              </w:rPr>
            </w:pPr>
            <w:r>
              <w:rPr>
                <w:rFonts w:hint="eastAsia" w:ascii="宋体" w:hAnsi="宋体" w:cs="宋体"/>
              </w:rPr>
              <w:t>企业统一社会信用代码</w:t>
            </w:r>
          </w:p>
        </w:tc>
        <w:tc>
          <w:tcPr>
            <w:tcW w:w="7341" w:type="dxa"/>
            <w:gridSpan w:val="8"/>
            <w:vAlign w:val="center"/>
          </w:tcPr>
          <w:p w14:paraId="67F4D7CC">
            <w:pPr>
              <w:jc w:val="center"/>
              <w:rPr>
                <w:rFonts w:ascii="宋体"/>
              </w:rPr>
            </w:pPr>
          </w:p>
        </w:tc>
      </w:tr>
      <w:tr w14:paraId="33738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607DAE83">
            <w:pPr>
              <w:jc w:val="center"/>
              <w:rPr>
                <w:rFonts w:ascii="宋体"/>
              </w:rPr>
            </w:pPr>
            <w:r>
              <w:rPr>
                <w:rFonts w:hint="eastAsia" w:ascii="宋体" w:hAnsi="宋体" w:cs="宋体"/>
              </w:rPr>
              <w:t>法定代表人</w:t>
            </w:r>
          </w:p>
        </w:tc>
        <w:tc>
          <w:tcPr>
            <w:tcW w:w="897" w:type="dxa"/>
            <w:vAlign w:val="center"/>
          </w:tcPr>
          <w:p w14:paraId="6E1E12CE">
            <w:pPr>
              <w:jc w:val="center"/>
              <w:rPr>
                <w:rFonts w:ascii="宋体"/>
              </w:rPr>
            </w:pPr>
            <w:r>
              <w:rPr>
                <w:rFonts w:hint="eastAsia" w:ascii="宋体" w:hAnsi="宋体" w:cs="宋体"/>
              </w:rPr>
              <w:t>姓名</w:t>
            </w:r>
          </w:p>
        </w:tc>
        <w:tc>
          <w:tcPr>
            <w:tcW w:w="1021" w:type="dxa"/>
            <w:vAlign w:val="center"/>
          </w:tcPr>
          <w:p w14:paraId="073976D6">
            <w:pPr>
              <w:jc w:val="center"/>
              <w:rPr>
                <w:rFonts w:ascii="宋体"/>
              </w:rPr>
            </w:pPr>
          </w:p>
        </w:tc>
        <w:tc>
          <w:tcPr>
            <w:tcW w:w="1160" w:type="dxa"/>
            <w:vAlign w:val="center"/>
          </w:tcPr>
          <w:p w14:paraId="5EA46284">
            <w:pPr>
              <w:jc w:val="center"/>
              <w:rPr>
                <w:rFonts w:ascii="宋体"/>
              </w:rPr>
            </w:pPr>
            <w:r>
              <w:rPr>
                <w:rFonts w:hint="eastAsia" w:ascii="宋体" w:hAnsi="宋体" w:cs="宋体"/>
              </w:rPr>
              <w:t>技术职称</w:t>
            </w:r>
          </w:p>
        </w:tc>
        <w:tc>
          <w:tcPr>
            <w:tcW w:w="1620" w:type="dxa"/>
            <w:gridSpan w:val="3"/>
            <w:vAlign w:val="center"/>
          </w:tcPr>
          <w:p w14:paraId="7EE33ACC">
            <w:pPr>
              <w:jc w:val="center"/>
              <w:rPr>
                <w:rFonts w:ascii="宋体"/>
              </w:rPr>
            </w:pPr>
          </w:p>
        </w:tc>
        <w:tc>
          <w:tcPr>
            <w:tcW w:w="720" w:type="dxa"/>
            <w:vAlign w:val="center"/>
          </w:tcPr>
          <w:p w14:paraId="042082D3">
            <w:pPr>
              <w:jc w:val="center"/>
              <w:rPr>
                <w:rFonts w:ascii="宋体"/>
              </w:rPr>
            </w:pPr>
            <w:r>
              <w:rPr>
                <w:rFonts w:hint="eastAsia" w:ascii="宋体" w:hAnsi="宋体" w:cs="宋体"/>
              </w:rPr>
              <w:t>电话</w:t>
            </w:r>
          </w:p>
        </w:tc>
        <w:tc>
          <w:tcPr>
            <w:tcW w:w="1923" w:type="dxa"/>
            <w:vAlign w:val="center"/>
          </w:tcPr>
          <w:p w14:paraId="4C189D80">
            <w:pPr>
              <w:jc w:val="center"/>
              <w:rPr>
                <w:rFonts w:ascii="宋体"/>
              </w:rPr>
            </w:pPr>
          </w:p>
        </w:tc>
      </w:tr>
      <w:tr w14:paraId="60711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68D25404">
            <w:pPr>
              <w:jc w:val="center"/>
              <w:rPr>
                <w:rFonts w:ascii="宋体"/>
              </w:rPr>
            </w:pPr>
            <w:r>
              <w:rPr>
                <w:rFonts w:hint="eastAsia" w:ascii="宋体" w:hAnsi="宋体" w:cs="宋体"/>
              </w:rPr>
              <w:t>技术负责人</w:t>
            </w:r>
          </w:p>
        </w:tc>
        <w:tc>
          <w:tcPr>
            <w:tcW w:w="897" w:type="dxa"/>
            <w:vAlign w:val="center"/>
          </w:tcPr>
          <w:p w14:paraId="0E2748F6">
            <w:pPr>
              <w:jc w:val="center"/>
              <w:rPr>
                <w:rFonts w:ascii="宋体"/>
              </w:rPr>
            </w:pPr>
            <w:r>
              <w:rPr>
                <w:rFonts w:hint="eastAsia" w:ascii="宋体" w:hAnsi="宋体" w:cs="宋体"/>
              </w:rPr>
              <w:t>姓名</w:t>
            </w:r>
          </w:p>
        </w:tc>
        <w:tc>
          <w:tcPr>
            <w:tcW w:w="1021" w:type="dxa"/>
            <w:vAlign w:val="center"/>
          </w:tcPr>
          <w:p w14:paraId="41471691">
            <w:pPr>
              <w:jc w:val="center"/>
              <w:rPr>
                <w:rFonts w:ascii="宋体"/>
              </w:rPr>
            </w:pPr>
          </w:p>
        </w:tc>
        <w:tc>
          <w:tcPr>
            <w:tcW w:w="1160" w:type="dxa"/>
            <w:vAlign w:val="center"/>
          </w:tcPr>
          <w:p w14:paraId="67E1F779">
            <w:pPr>
              <w:jc w:val="center"/>
              <w:rPr>
                <w:rFonts w:ascii="宋体"/>
              </w:rPr>
            </w:pPr>
            <w:r>
              <w:rPr>
                <w:rFonts w:hint="eastAsia" w:ascii="宋体" w:hAnsi="宋体" w:cs="宋体"/>
              </w:rPr>
              <w:t>技术职称</w:t>
            </w:r>
          </w:p>
        </w:tc>
        <w:tc>
          <w:tcPr>
            <w:tcW w:w="1620" w:type="dxa"/>
            <w:gridSpan w:val="3"/>
            <w:vAlign w:val="center"/>
          </w:tcPr>
          <w:p w14:paraId="2069039B">
            <w:pPr>
              <w:jc w:val="center"/>
              <w:rPr>
                <w:rFonts w:ascii="宋体"/>
              </w:rPr>
            </w:pPr>
          </w:p>
        </w:tc>
        <w:tc>
          <w:tcPr>
            <w:tcW w:w="720" w:type="dxa"/>
            <w:vAlign w:val="center"/>
          </w:tcPr>
          <w:p w14:paraId="63B083C8">
            <w:pPr>
              <w:jc w:val="center"/>
              <w:rPr>
                <w:rFonts w:ascii="宋体"/>
              </w:rPr>
            </w:pPr>
            <w:r>
              <w:rPr>
                <w:rFonts w:hint="eastAsia" w:ascii="宋体" w:hAnsi="宋体" w:cs="宋体"/>
              </w:rPr>
              <w:t>电话</w:t>
            </w:r>
          </w:p>
        </w:tc>
        <w:tc>
          <w:tcPr>
            <w:tcW w:w="1923" w:type="dxa"/>
            <w:vAlign w:val="center"/>
          </w:tcPr>
          <w:p w14:paraId="1165B95F">
            <w:pPr>
              <w:jc w:val="center"/>
              <w:rPr>
                <w:rFonts w:ascii="宋体"/>
              </w:rPr>
            </w:pPr>
          </w:p>
        </w:tc>
      </w:tr>
      <w:tr w14:paraId="20134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101FF5E7">
            <w:pPr>
              <w:jc w:val="center"/>
              <w:rPr>
                <w:rFonts w:ascii="宋体"/>
              </w:rPr>
            </w:pPr>
            <w:r>
              <w:rPr>
                <w:rFonts w:hint="eastAsia" w:ascii="宋体" w:hAnsi="宋体" w:cs="宋体"/>
              </w:rPr>
              <w:t>成立时间</w:t>
            </w:r>
          </w:p>
        </w:tc>
        <w:tc>
          <w:tcPr>
            <w:tcW w:w="1918" w:type="dxa"/>
            <w:gridSpan w:val="2"/>
            <w:vAlign w:val="center"/>
          </w:tcPr>
          <w:p w14:paraId="688CF54D">
            <w:pPr>
              <w:jc w:val="center"/>
              <w:rPr>
                <w:rFonts w:ascii="宋体"/>
              </w:rPr>
            </w:pPr>
          </w:p>
        </w:tc>
        <w:tc>
          <w:tcPr>
            <w:tcW w:w="5423" w:type="dxa"/>
            <w:gridSpan w:val="6"/>
            <w:vAlign w:val="center"/>
          </w:tcPr>
          <w:p w14:paraId="191780A5">
            <w:pPr>
              <w:jc w:val="center"/>
              <w:rPr>
                <w:rFonts w:ascii="宋体"/>
              </w:rPr>
            </w:pPr>
            <w:r>
              <w:rPr>
                <w:rFonts w:hint="eastAsia" w:ascii="宋体" w:hAnsi="宋体" w:cs="宋体"/>
              </w:rPr>
              <w:t>员工总人数：</w:t>
            </w:r>
          </w:p>
        </w:tc>
      </w:tr>
      <w:tr w14:paraId="11D55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58449BCE">
            <w:pPr>
              <w:jc w:val="center"/>
              <w:rPr>
                <w:rFonts w:ascii="宋体"/>
              </w:rPr>
            </w:pPr>
            <w:r>
              <w:rPr>
                <w:rFonts w:hint="eastAsia" w:ascii="宋体" w:hAnsi="宋体" w:cs="宋体"/>
              </w:rPr>
              <w:t>企业资质等级</w:t>
            </w:r>
          </w:p>
        </w:tc>
        <w:tc>
          <w:tcPr>
            <w:tcW w:w="1918" w:type="dxa"/>
            <w:gridSpan w:val="2"/>
            <w:vAlign w:val="center"/>
          </w:tcPr>
          <w:p w14:paraId="2231BE12">
            <w:pPr>
              <w:jc w:val="center"/>
              <w:rPr>
                <w:rFonts w:ascii="宋体"/>
              </w:rPr>
            </w:pPr>
          </w:p>
        </w:tc>
        <w:tc>
          <w:tcPr>
            <w:tcW w:w="1160" w:type="dxa"/>
            <w:vMerge w:val="restart"/>
            <w:vAlign w:val="center"/>
          </w:tcPr>
          <w:p w14:paraId="2E289B16">
            <w:pPr>
              <w:jc w:val="center"/>
              <w:rPr>
                <w:rFonts w:ascii="宋体"/>
              </w:rPr>
            </w:pPr>
            <w:r>
              <w:rPr>
                <w:rFonts w:hint="eastAsia" w:ascii="宋体" w:hAnsi="宋体" w:cs="宋体"/>
              </w:rPr>
              <w:t>其中</w:t>
            </w:r>
          </w:p>
        </w:tc>
        <w:tc>
          <w:tcPr>
            <w:tcW w:w="1620" w:type="dxa"/>
            <w:gridSpan w:val="3"/>
            <w:vAlign w:val="center"/>
          </w:tcPr>
          <w:p w14:paraId="08544743">
            <w:pPr>
              <w:jc w:val="center"/>
              <w:rPr>
                <w:rFonts w:ascii="宋体"/>
              </w:rPr>
            </w:pPr>
            <w:r>
              <w:rPr>
                <w:rFonts w:hint="eastAsia" w:ascii="宋体" w:hAnsi="宋体" w:cs="宋体"/>
              </w:rPr>
              <w:t>注册建造师</w:t>
            </w:r>
          </w:p>
        </w:tc>
        <w:tc>
          <w:tcPr>
            <w:tcW w:w="2643" w:type="dxa"/>
            <w:gridSpan w:val="2"/>
            <w:vAlign w:val="center"/>
          </w:tcPr>
          <w:p w14:paraId="03980DE0">
            <w:pPr>
              <w:jc w:val="center"/>
              <w:rPr>
                <w:rFonts w:ascii="宋体"/>
              </w:rPr>
            </w:pPr>
          </w:p>
        </w:tc>
      </w:tr>
      <w:tr w14:paraId="36184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384DAB41">
            <w:pPr>
              <w:jc w:val="center"/>
              <w:rPr>
                <w:rFonts w:ascii="宋体"/>
              </w:rPr>
            </w:pPr>
            <w:r>
              <w:rPr>
                <w:rFonts w:hint="eastAsia" w:ascii="宋体" w:hAnsi="宋体" w:cs="宋体"/>
              </w:rPr>
              <w:t>营业执照号</w:t>
            </w:r>
          </w:p>
        </w:tc>
        <w:tc>
          <w:tcPr>
            <w:tcW w:w="1918" w:type="dxa"/>
            <w:gridSpan w:val="2"/>
            <w:vAlign w:val="center"/>
          </w:tcPr>
          <w:p w14:paraId="71354C1B">
            <w:pPr>
              <w:jc w:val="center"/>
              <w:rPr>
                <w:rFonts w:ascii="宋体"/>
              </w:rPr>
            </w:pPr>
          </w:p>
        </w:tc>
        <w:tc>
          <w:tcPr>
            <w:tcW w:w="1160" w:type="dxa"/>
            <w:vMerge w:val="continue"/>
            <w:vAlign w:val="center"/>
          </w:tcPr>
          <w:p w14:paraId="0E4345EF">
            <w:pPr>
              <w:jc w:val="center"/>
              <w:rPr>
                <w:rFonts w:ascii="宋体"/>
              </w:rPr>
            </w:pPr>
          </w:p>
        </w:tc>
        <w:tc>
          <w:tcPr>
            <w:tcW w:w="1620" w:type="dxa"/>
            <w:gridSpan w:val="3"/>
            <w:vAlign w:val="center"/>
          </w:tcPr>
          <w:p w14:paraId="06E717E2">
            <w:pPr>
              <w:jc w:val="center"/>
              <w:rPr>
                <w:rFonts w:ascii="宋体"/>
              </w:rPr>
            </w:pPr>
            <w:r>
              <w:rPr>
                <w:rFonts w:hint="eastAsia" w:ascii="宋体" w:hAnsi="宋体" w:cs="宋体"/>
              </w:rPr>
              <w:t>高级职称人员</w:t>
            </w:r>
          </w:p>
        </w:tc>
        <w:tc>
          <w:tcPr>
            <w:tcW w:w="2643" w:type="dxa"/>
            <w:gridSpan w:val="2"/>
            <w:vAlign w:val="center"/>
          </w:tcPr>
          <w:p w14:paraId="4EB00AD6">
            <w:pPr>
              <w:jc w:val="center"/>
              <w:rPr>
                <w:rFonts w:ascii="宋体"/>
              </w:rPr>
            </w:pPr>
          </w:p>
        </w:tc>
      </w:tr>
      <w:tr w14:paraId="7900B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1BD24031">
            <w:pPr>
              <w:jc w:val="center"/>
              <w:rPr>
                <w:rFonts w:ascii="宋体"/>
              </w:rPr>
            </w:pPr>
            <w:r>
              <w:rPr>
                <w:rFonts w:hint="eastAsia" w:ascii="宋体" w:hAnsi="宋体" w:cs="宋体"/>
              </w:rPr>
              <w:t>注册资金</w:t>
            </w:r>
          </w:p>
        </w:tc>
        <w:tc>
          <w:tcPr>
            <w:tcW w:w="1918" w:type="dxa"/>
            <w:gridSpan w:val="2"/>
            <w:vAlign w:val="center"/>
          </w:tcPr>
          <w:p w14:paraId="3B01BC57">
            <w:pPr>
              <w:jc w:val="center"/>
              <w:rPr>
                <w:rFonts w:ascii="宋体"/>
              </w:rPr>
            </w:pPr>
          </w:p>
        </w:tc>
        <w:tc>
          <w:tcPr>
            <w:tcW w:w="1160" w:type="dxa"/>
            <w:vMerge w:val="continue"/>
            <w:vAlign w:val="center"/>
          </w:tcPr>
          <w:p w14:paraId="7744FD11">
            <w:pPr>
              <w:jc w:val="center"/>
              <w:rPr>
                <w:rFonts w:ascii="宋体"/>
              </w:rPr>
            </w:pPr>
          </w:p>
        </w:tc>
        <w:tc>
          <w:tcPr>
            <w:tcW w:w="1620" w:type="dxa"/>
            <w:gridSpan w:val="3"/>
            <w:vAlign w:val="center"/>
          </w:tcPr>
          <w:p w14:paraId="493C5570">
            <w:pPr>
              <w:jc w:val="center"/>
              <w:rPr>
                <w:rFonts w:ascii="宋体"/>
              </w:rPr>
            </w:pPr>
            <w:r>
              <w:rPr>
                <w:rFonts w:hint="eastAsia" w:ascii="宋体" w:hAnsi="宋体" w:cs="宋体"/>
              </w:rPr>
              <w:t>中级职称人员</w:t>
            </w:r>
          </w:p>
        </w:tc>
        <w:tc>
          <w:tcPr>
            <w:tcW w:w="2643" w:type="dxa"/>
            <w:gridSpan w:val="2"/>
            <w:vAlign w:val="center"/>
          </w:tcPr>
          <w:p w14:paraId="4F702D62">
            <w:pPr>
              <w:jc w:val="center"/>
              <w:rPr>
                <w:rFonts w:ascii="宋体"/>
              </w:rPr>
            </w:pPr>
          </w:p>
        </w:tc>
      </w:tr>
      <w:tr w14:paraId="68237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7E7F3517">
            <w:pPr>
              <w:jc w:val="center"/>
              <w:rPr>
                <w:rFonts w:ascii="宋体"/>
              </w:rPr>
            </w:pPr>
            <w:r>
              <w:rPr>
                <w:rFonts w:hint="eastAsia" w:ascii="宋体" w:hAnsi="宋体" w:cs="宋体"/>
              </w:rPr>
              <w:t>开户银行</w:t>
            </w:r>
          </w:p>
        </w:tc>
        <w:tc>
          <w:tcPr>
            <w:tcW w:w="1918" w:type="dxa"/>
            <w:gridSpan w:val="2"/>
            <w:vAlign w:val="center"/>
          </w:tcPr>
          <w:p w14:paraId="7A93A1FA">
            <w:pPr>
              <w:jc w:val="center"/>
              <w:rPr>
                <w:rFonts w:ascii="宋体"/>
              </w:rPr>
            </w:pPr>
          </w:p>
        </w:tc>
        <w:tc>
          <w:tcPr>
            <w:tcW w:w="1160" w:type="dxa"/>
            <w:vMerge w:val="continue"/>
            <w:vAlign w:val="center"/>
          </w:tcPr>
          <w:p w14:paraId="5E7762B0">
            <w:pPr>
              <w:jc w:val="center"/>
              <w:rPr>
                <w:rFonts w:ascii="宋体"/>
              </w:rPr>
            </w:pPr>
          </w:p>
        </w:tc>
        <w:tc>
          <w:tcPr>
            <w:tcW w:w="1620" w:type="dxa"/>
            <w:gridSpan w:val="3"/>
            <w:vAlign w:val="center"/>
          </w:tcPr>
          <w:p w14:paraId="5C822DBC">
            <w:pPr>
              <w:jc w:val="center"/>
              <w:rPr>
                <w:rFonts w:ascii="宋体"/>
              </w:rPr>
            </w:pPr>
            <w:r>
              <w:rPr>
                <w:rFonts w:hint="eastAsia" w:ascii="宋体" w:hAnsi="宋体" w:cs="宋体"/>
              </w:rPr>
              <w:t>初级职称人员</w:t>
            </w:r>
          </w:p>
        </w:tc>
        <w:tc>
          <w:tcPr>
            <w:tcW w:w="2643" w:type="dxa"/>
            <w:gridSpan w:val="2"/>
            <w:vAlign w:val="center"/>
          </w:tcPr>
          <w:p w14:paraId="32F17330">
            <w:pPr>
              <w:jc w:val="center"/>
              <w:rPr>
                <w:rFonts w:ascii="宋体"/>
              </w:rPr>
            </w:pPr>
          </w:p>
        </w:tc>
      </w:tr>
      <w:tr w14:paraId="34533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09A90FA2">
            <w:pPr>
              <w:jc w:val="center"/>
              <w:rPr>
                <w:rFonts w:ascii="宋体"/>
              </w:rPr>
            </w:pPr>
            <w:r>
              <w:rPr>
                <w:rFonts w:hint="eastAsia" w:ascii="宋体" w:hAnsi="宋体" w:cs="宋体"/>
              </w:rPr>
              <w:t>账号</w:t>
            </w:r>
          </w:p>
        </w:tc>
        <w:tc>
          <w:tcPr>
            <w:tcW w:w="1918" w:type="dxa"/>
            <w:gridSpan w:val="2"/>
            <w:vAlign w:val="center"/>
          </w:tcPr>
          <w:p w14:paraId="39C89BE1">
            <w:pPr>
              <w:jc w:val="center"/>
              <w:rPr>
                <w:rFonts w:ascii="宋体"/>
              </w:rPr>
            </w:pPr>
          </w:p>
        </w:tc>
        <w:tc>
          <w:tcPr>
            <w:tcW w:w="1160" w:type="dxa"/>
            <w:vMerge w:val="continue"/>
            <w:vAlign w:val="center"/>
          </w:tcPr>
          <w:p w14:paraId="442A54F3">
            <w:pPr>
              <w:jc w:val="center"/>
              <w:rPr>
                <w:rFonts w:ascii="宋体"/>
              </w:rPr>
            </w:pPr>
          </w:p>
        </w:tc>
        <w:tc>
          <w:tcPr>
            <w:tcW w:w="1620" w:type="dxa"/>
            <w:gridSpan w:val="3"/>
            <w:vAlign w:val="center"/>
          </w:tcPr>
          <w:p w14:paraId="7BBC54C8">
            <w:pPr>
              <w:jc w:val="center"/>
              <w:rPr>
                <w:rFonts w:ascii="宋体"/>
              </w:rPr>
            </w:pPr>
            <w:r>
              <w:rPr>
                <w:rFonts w:hint="eastAsia" w:ascii="宋体" w:hAnsi="宋体" w:cs="宋体"/>
              </w:rPr>
              <w:t>技工</w:t>
            </w:r>
          </w:p>
        </w:tc>
        <w:tc>
          <w:tcPr>
            <w:tcW w:w="2643" w:type="dxa"/>
            <w:gridSpan w:val="2"/>
            <w:vAlign w:val="center"/>
          </w:tcPr>
          <w:p w14:paraId="1A21C726">
            <w:pPr>
              <w:jc w:val="center"/>
              <w:rPr>
                <w:rFonts w:ascii="宋体"/>
              </w:rPr>
            </w:pPr>
          </w:p>
        </w:tc>
      </w:tr>
      <w:tr w14:paraId="6D8E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626" w:type="dxa"/>
            <w:vAlign w:val="center"/>
          </w:tcPr>
          <w:p w14:paraId="21B17729">
            <w:pPr>
              <w:jc w:val="center"/>
              <w:rPr>
                <w:rFonts w:ascii="宋体"/>
              </w:rPr>
            </w:pPr>
            <w:r>
              <w:rPr>
                <w:rFonts w:hint="eastAsia" w:ascii="宋体" w:hAnsi="宋体" w:cs="宋体"/>
              </w:rPr>
              <w:t>经营范围</w:t>
            </w:r>
          </w:p>
        </w:tc>
        <w:tc>
          <w:tcPr>
            <w:tcW w:w="7341" w:type="dxa"/>
            <w:gridSpan w:val="8"/>
            <w:vAlign w:val="center"/>
          </w:tcPr>
          <w:p w14:paraId="06513B6F">
            <w:pPr>
              <w:jc w:val="center"/>
              <w:rPr>
                <w:rFonts w:ascii="宋体"/>
              </w:rPr>
            </w:pPr>
          </w:p>
        </w:tc>
      </w:tr>
      <w:tr w14:paraId="430E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6BCB27DC">
            <w:pPr>
              <w:jc w:val="center"/>
              <w:rPr>
                <w:rFonts w:ascii="宋体"/>
              </w:rPr>
            </w:pPr>
            <w:r>
              <w:rPr>
                <w:rFonts w:hint="eastAsia" w:ascii="宋体" w:hAnsi="宋体" w:cs="宋体"/>
              </w:rPr>
              <w:t>备注</w:t>
            </w:r>
          </w:p>
        </w:tc>
        <w:tc>
          <w:tcPr>
            <w:tcW w:w="7341" w:type="dxa"/>
            <w:gridSpan w:val="8"/>
            <w:vAlign w:val="center"/>
          </w:tcPr>
          <w:p w14:paraId="780A37F5">
            <w:pPr>
              <w:jc w:val="center"/>
              <w:rPr>
                <w:rFonts w:ascii="宋体"/>
              </w:rPr>
            </w:pPr>
          </w:p>
        </w:tc>
      </w:tr>
    </w:tbl>
    <w:p w14:paraId="3C7644B8">
      <w:pPr>
        <w:spacing w:line="480" w:lineRule="auto"/>
        <w:ind w:firstLine="525" w:firstLineChars="250"/>
        <w:jc w:val="left"/>
        <w:rPr>
          <w:rFonts w:ascii="宋体"/>
        </w:rPr>
      </w:pPr>
      <w:r>
        <w:rPr>
          <w:rFonts w:hint="eastAsia" w:ascii="宋体" w:hAnsi="宋体" w:cs="宋体"/>
        </w:rPr>
        <w:t>注：联合体各方分别填写</w:t>
      </w:r>
    </w:p>
    <w:p w14:paraId="2A0ED297">
      <w:pPr>
        <w:spacing w:line="480" w:lineRule="auto"/>
        <w:ind w:firstLine="525" w:firstLineChars="250"/>
        <w:jc w:val="left"/>
        <w:rPr>
          <w:rFonts w:ascii="宋体"/>
        </w:rPr>
      </w:pPr>
    </w:p>
    <w:p w14:paraId="10B8BB59">
      <w:pPr>
        <w:spacing w:line="480" w:lineRule="auto"/>
        <w:ind w:firstLine="525" w:firstLineChars="250"/>
        <w:jc w:val="left"/>
        <w:rPr>
          <w:rFonts w:ascii="宋体"/>
        </w:rPr>
      </w:pPr>
    </w:p>
    <w:p w14:paraId="6903D8AE">
      <w:pPr>
        <w:keepNext/>
        <w:keepLines/>
        <w:spacing w:before="100" w:line="400" w:lineRule="exact"/>
        <w:jc w:val="center"/>
        <w:outlineLvl w:val="1"/>
        <w:rPr>
          <w:rFonts w:hint="eastAsia" w:ascii="宋体" w:hAnsi="宋体" w:cs="宋体"/>
          <w:sz w:val="28"/>
          <w:szCs w:val="28"/>
        </w:rPr>
      </w:pPr>
    </w:p>
    <w:p w14:paraId="1D213F7D">
      <w:pPr>
        <w:keepNext/>
        <w:keepLines/>
        <w:spacing w:before="100" w:line="400" w:lineRule="exact"/>
        <w:jc w:val="center"/>
        <w:outlineLvl w:val="1"/>
        <w:rPr>
          <w:rFonts w:hint="eastAsia" w:ascii="宋体" w:hAnsi="宋体" w:cs="宋体"/>
          <w:sz w:val="28"/>
          <w:szCs w:val="28"/>
        </w:rPr>
      </w:pPr>
    </w:p>
    <w:p w14:paraId="200BC890">
      <w:pPr>
        <w:spacing w:line="20" w:lineRule="exact"/>
        <w:rPr>
          <w:rFonts w:ascii="宋体"/>
        </w:rPr>
      </w:pPr>
    </w:p>
    <w:p w14:paraId="5FBC526B">
      <w:pPr>
        <w:spacing w:line="20" w:lineRule="exact"/>
        <w:rPr>
          <w:rFonts w:ascii="宋体"/>
        </w:rPr>
      </w:pPr>
    </w:p>
    <w:p w14:paraId="15AA41A0">
      <w:pPr>
        <w:spacing w:beforeLines="50" w:afterLines="100" w:line="440" w:lineRule="exact"/>
        <w:rPr>
          <w:rFonts w:ascii="宋体"/>
          <w:b/>
          <w:bCs/>
          <w:sz w:val="28"/>
          <w:szCs w:val="28"/>
        </w:rPr>
      </w:pPr>
    </w:p>
    <w:p w14:paraId="06594E8E">
      <w:pPr>
        <w:keepNext/>
        <w:keepLines/>
        <w:spacing w:before="100" w:line="400" w:lineRule="exact"/>
        <w:jc w:val="center"/>
        <w:outlineLvl w:val="1"/>
        <w:rPr>
          <w:rFonts w:ascii="宋体"/>
          <w:sz w:val="28"/>
          <w:szCs w:val="28"/>
        </w:rPr>
      </w:pPr>
      <w:r>
        <w:rPr>
          <w:rFonts w:hint="eastAsia" w:ascii="宋体" w:hAnsi="宋体" w:cs="宋体"/>
          <w:sz w:val="28"/>
          <w:szCs w:val="28"/>
        </w:rPr>
        <w:t>项目负责人简历表</w:t>
      </w:r>
    </w:p>
    <w:tbl>
      <w:tblPr>
        <w:tblStyle w:val="51"/>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38"/>
        <w:gridCol w:w="1256"/>
        <w:gridCol w:w="838"/>
        <w:gridCol w:w="419"/>
        <w:gridCol w:w="1258"/>
        <w:gridCol w:w="1396"/>
        <w:gridCol w:w="280"/>
        <w:gridCol w:w="1677"/>
      </w:tblGrid>
      <w:tr w14:paraId="1D7DB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258" w:type="dxa"/>
            <w:vAlign w:val="center"/>
          </w:tcPr>
          <w:p w14:paraId="60E6521F">
            <w:pPr>
              <w:spacing w:line="300" w:lineRule="exact"/>
              <w:jc w:val="center"/>
              <w:rPr>
                <w:rFonts w:ascii="宋体"/>
              </w:rPr>
            </w:pPr>
            <w:r>
              <w:rPr>
                <w:rFonts w:hint="eastAsia" w:ascii="宋体" w:hAnsi="宋体" w:cs="宋体"/>
              </w:rPr>
              <w:t>姓名</w:t>
            </w:r>
          </w:p>
        </w:tc>
        <w:tc>
          <w:tcPr>
            <w:tcW w:w="2094" w:type="dxa"/>
            <w:gridSpan w:val="2"/>
            <w:vAlign w:val="center"/>
          </w:tcPr>
          <w:p w14:paraId="5FA757CD">
            <w:pPr>
              <w:spacing w:line="300" w:lineRule="exact"/>
              <w:jc w:val="center"/>
              <w:rPr>
                <w:rFonts w:ascii="宋体"/>
              </w:rPr>
            </w:pPr>
          </w:p>
        </w:tc>
        <w:tc>
          <w:tcPr>
            <w:tcW w:w="1257" w:type="dxa"/>
            <w:gridSpan w:val="2"/>
            <w:vAlign w:val="center"/>
          </w:tcPr>
          <w:p w14:paraId="2213E915">
            <w:pPr>
              <w:spacing w:line="300" w:lineRule="exact"/>
              <w:jc w:val="center"/>
              <w:rPr>
                <w:rFonts w:ascii="宋体"/>
              </w:rPr>
            </w:pPr>
            <w:r>
              <w:rPr>
                <w:rFonts w:hint="eastAsia" w:ascii="宋体" w:hAnsi="宋体" w:cs="宋体"/>
              </w:rPr>
              <w:t>性别</w:t>
            </w:r>
          </w:p>
        </w:tc>
        <w:tc>
          <w:tcPr>
            <w:tcW w:w="1258" w:type="dxa"/>
            <w:vAlign w:val="center"/>
          </w:tcPr>
          <w:p w14:paraId="3673C7E7">
            <w:pPr>
              <w:spacing w:line="300" w:lineRule="exact"/>
              <w:jc w:val="center"/>
              <w:rPr>
                <w:rFonts w:ascii="宋体"/>
              </w:rPr>
            </w:pPr>
          </w:p>
        </w:tc>
        <w:tc>
          <w:tcPr>
            <w:tcW w:w="1676" w:type="dxa"/>
            <w:gridSpan w:val="2"/>
            <w:vAlign w:val="center"/>
          </w:tcPr>
          <w:p w14:paraId="0A53CDAB">
            <w:pPr>
              <w:spacing w:line="300" w:lineRule="exact"/>
              <w:jc w:val="center"/>
              <w:rPr>
                <w:rFonts w:ascii="宋体"/>
              </w:rPr>
            </w:pPr>
            <w:r>
              <w:rPr>
                <w:rFonts w:hint="eastAsia" w:ascii="宋体" w:hAnsi="宋体" w:cs="宋体"/>
              </w:rPr>
              <w:t>年龄</w:t>
            </w:r>
          </w:p>
        </w:tc>
        <w:tc>
          <w:tcPr>
            <w:tcW w:w="1677" w:type="dxa"/>
            <w:vAlign w:val="center"/>
          </w:tcPr>
          <w:p w14:paraId="139DC8E0">
            <w:pPr>
              <w:spacing w:line="300" w:lineRule="exact"/>
              <w:jc w:val="center"/>
              <w:rPr>
                <w:rFonts w:ascii="宋体"/>
              </w:rPr>
            </w:pPr>
          </w:p>
        </w:tc>
      </w:tr>
      <w:tr w14:paraId="53644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258" w:type="dxa"/>
            <w:vAlign w:val="center"/>
          </w:tcPr>
          <w:p w14:paraId="15173E88">
            <w:pPr>
              <w:spacing w:line="300" w:lineRule="exact"/>
              <w:jc w:val="center"/>
              <w:rPr>
                <w:rFonts w:ascii="宋体"/>
              </w:rPr>
            </w:pPr>
            <w:r>
              <w:rPr>
                <w:rFonts w:hint="eastAsia" w:ascii="宋体" w:hAnsi="宋体" w:cs="宋体"/>
              </w:rPr>
              <w:t>职务</w:t>
            </w:r>
          </w:p>
        </w:tc>
        <w:tc>
          <w:tcPr>
            <w:tcW w:w="2094" w:type="dxa"/>
            <w:gridSpan w:val="2"/>
            <w:vAlign w:val="center"/>
          </w:tcPr>
          <w:p w14:paraId="090B59AA">
            <w:pPr>
              <w:spacing w:line="300" w:lineRule="exact"/>
              <w:jc w:val="center"/>
              <w:rPr>
                <w:rFonts w:ascii="宋体"/>
              </w:rPr>
            </w:pPr>
          </w:p>
        </w:tc>
        <w:tc>
          <w:tcPr>
            <w:tcW w:w="1257" w:type="dxa"/>
            <w:gridSpan w:val="2"/>
            <w:vAlign w:val="center"/>
          </w:tcPr>
          <w:p w14:paraId="42BBDDDD">
            <w:pPr>
              <w:spacing w:line="300" w:lineRule="exact"/>
              <w:jc w:val="center"/>
              <w:rPr>
                <w:rFonts w:ascii="宋体"/>
              </w:rPr>
            </w:pPr>
            <w:r>
              <w:rPr>
                <w:rFonts w:hint="eastAsia" w:ascii="宋体" w:hAnsi="宋体" w:cs="宋体"/>
              </w:rPr>
              <w:t>职称</w:t>
            </w:r>
          </w:p>
        </w:tc>
        <w:tc>
          <w:tcPr>
            <w:tcW w:w="1258" w:type="dxa"/>
            <w:vAlign w:val="center"/>
          </w:tcPr>
          <w:p w14:paraId="2A7AF302">
            <w:pPr>
              <w:spacing w:line="300" w:lineRule="exact"/>
              <w:jc w:val="center"/>
              <w:rPr>
                <w:rFonts w:ascii="宋体"/>
              </w:rPr>
            </w:pPr>
          </w:p>
        </w:tc>
        <w:tc>
          <w:tcPr>
            <w:tcW w:w="1676" w:type="dxa"/>
            <w:gridSpan w:val="2"/>
            <w:vAlign w:val="center"/>
          </w:tcPr>
          <w:p w14:paraId="59112CFC">
            <w:pPr>
              <w:spacing w:line="300" w:lineRule="exact"/>
              <w:jc w:val="center"/>
              <w:rPr>
                <w:rFonts w:ascii="宋体"/>
              </w:rPr>
            </w:pPr>
            <w:r>
              <w:rPr>
                <w:rFonts w:hint="eastAsia" w:ascii="宋体" w:hAnsi="宋体" w:cs="宋体"/>
              </w:rPr>
              <w:t>学历</w:t>
            </w:r>
          </w:p>
        </w:tc>
        <w:tc>
          <w:tcPr>
            <w:tcW w:w="1677" w:type="dxa"/>
            <w:vAlign w:val="center"/>
          </w:tcPr>
          <w:p w14:paraId="39690A3E">
            <w:pPr>
              <w:spacing w:line="300" w:lineRule="exact"/>
              <w:jc w:val="center"/>
              <w:rPr>
                <w:rFonts w:ascii="宋体"/>
              </w:rPr>
            </w:pPr>
          </w:p>
        </w:tc>
      </w:tr>
      <w:tr w14:paraId="3C72E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096" w:type="dxa"/>
            <w:gridSpan w:val="2"/>
            <w:vAlign w:val="center"/>
          </w:tcPr>
          <w:p w14:paraId="1C8F820D">
            <w:pPr>
              <w:spacing w:line="300" w:lineRule="exact"/>
              <w:jc w:val="center"/>
              <w:rPr>
                <w:rFonts w:ascii="宋体"/>
              </w:rPr>
            </w:pPr>
            <w:r>
              <w:rPr>
                <w:rFonts w:hint="eastAsia" w:ascii="宋体" w:hAnsi="宋体" w:cs="宋体"/>
              </w:rPr>
              <w:t>建造师证号</w:t>
            </w:r>
          </w:p>
        </w:tc>
        <w:tc>
          <w:tcPr>
            <w:tcW w:w="2094" w:type="dxa"/>
            <w:gridSpan w:val="2"/>
            <w:vAlign w:val="center"/>
          </w:tcPr>
          <w:p w14:paraId="09D31E54">
            <w:pPr>
              <w:spacing w:line="300" w:lineRule="exact"/>
              <w:jc w:val="center"/>
              <w:rPr>
                <w:rFonts w:ascii="宋体"/>
              </w:rPr>
            </w:pPr>
          </w:p>
        </w:tc>
        <w:tc>
          <w:tcPr>
            <w:tcW w:w="3073" w:type="dxa"/>
            <w:gridSpan w:val="3"/>
            <w:vAlign w:val="center"/>
          </w:tcPr>
          <w:p w14:paraId="2EB28EB3">
            <w:pPr>
              <w:spacing w:line="300" w:lineRule="exact"/>
              <w:jc w:val="center"/>
              <w:rPr>
                <w:rFonts w:ascii="宋体"/>
              </w:rPr>
            </w:pPr>
            <w:r>
              <w:rPr>
                <w:rFonts w:hint="eastAsia" w:ascii="宋体" w:hAnsi="宋体" w:cs="宋体"/>
              </w:rPr>
              <w:t>专业</w:t>
            </w:r>
          </w:p>
        </w:tc>
        <w:tc>
          <w:tcPr>
            <w:tcW w:w="1957" w:type="dxa"/>
            <w:gridSpan w:val="2"/>
            <w:vAlign w:val="center"/>
          </w:tcPr>
          <w:p w14:paraId="0AADD79F">
            <w:pPr>
              <w:spacing w:line="300" w:lineRule="exact"/>
              <w:jc w:val="center"/>
              <w:rPr>
                <w:rFonts w:ascii="宋体"/>
              </w:rPr>
            </w:pPr>
          </w:p>
        </w:tc>
      </w:tr>
      <w:tr w14:paraId="44F8B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096" w:type="dxa"/>
            <w:gridSpan w:val="2"/>
            <w:vAlign w:val="center"/>
          </w:tcPr>
          <w:p w14:paraId="082B7333">
            <w:pPr>
              <w:spacing w:line="300" w:lineRule="exact"/>
              <w:jc w:val="center"/>
              <w:rPr>
                <w:rFonts w:ascii="宋体"/>
              </w:rPr>
            </w:pPr>
            <w:r>
              <w:rPr>
                <w:rFonts w:hint="eastAsia" w:ascii="宋体" w:hAnsi="宋体" w:cs="宋体"/>
              </w:rPr>
              <w:t>参加工作时间</w:t>
            </w:r>
          </w:p>
        </w:tc>
        <w:tc>
          <w:tcPr>
            <w:tcW w:w="2094" w:type="dxa"/>
            <w:gridSpan w:val="2"/>
            <w:vAlign w:val="center"/>
          </w:tcPr>
          <w:p w14:paraId="544A6A38">
            <w:pPr>
              <w:spacing w:line="300" w:lineRule="exact"/>
              <w:jc w:val="center"/>
              <w:rPr>
                <w:rFonts w:ascii="宋体"/>
              </w:rPr>
            </w:pPr>
          </w:p>
        </w:tc>
        <w:tc>
          <w:tcPr>
            <w:tcW w:w="3073" w:type="dxa"/>
            <w:gridSpan w:val="3"/>
            <w:vAlign w:val="center"/>
          </w:tcPr>
          <w:p w14:paraId="415A5055">
            <w:pPr>
              <w:spacing w:line="300" w:lineRule="exact"/>
              <w:jc w:val="center"/>
              <w:rPr>
                <w:rFonts w:ascii="宋体"/>
              </w:rPr>
            </w:pPr>
            <w:r>
              <w:rPr>
                <w:rFonts w:hint="eastAsia" w:ascii="宋体" w:hAnsi="宋体" w:cs="宋体"/>
              </w:rPr>
              <w:t>从事项目经理年限</w:t>
            </w:r>
          </w:p>
        </w:tc>
        <w:tc>
          <w:tcPr>
            <w:tcW w:w="1957" w:type="dxa"/>
            <w:gridSpan w:val="2"/>
            <w:vAlign w:val="center"/>
          </w:tcPr>
          <w:p w14:paraId="2B52832B">
            <w:pPr>
              <w:spacing w:line="300" w:lineRule="exact"/>
              <w:jc w:val="center"/>
              <w:rPr>
                <w:rFonts w:ascii="宋体"/>
              </w:rPr>
            </w:pPr>
          </w:p>
        </w:tc>
      </w:tr>
      <w:tr w14:paraId="31ED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220" w:type="dxa"/>
            <w:gridSpan w:val="9"/>
            <w:vAlign w:val="center"/>
          </w:tcPr>
          <w:p w14:paraId="5897F76D">
            <w:pPr>
              <w:spacing w:line="300" w:lineRule="exact"/>
              <w:jc w:val="center"/>
              <w:rPr>
                <w:rFonts w:ascii="宋体"/>
              </w:rPr>
            </w:pPr>
            <w:r>
              <w:rPr>
                <w:rFonts w:hint="eastAsia" w:ascii="宋体" w:hAnsi="宋体" w:cs="宋体"/>
              </w:rPr>
              <w:t>项目负责人简历</w:t>
            </w:r>
          </w:p>
        </w:tc>
      </w:tr>
      <w:tr w14:paraId="6BD2F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0" w:hRule="atLeast"/>
          <w:jc w:val="center"/>
        </w:trPr>
        <w:tc>
          <w:tcPr>
            <w:tcW w:w="9220" w:type="dxa"/>
            <w:gridSpan w:val="9"/>
          </w:tcPr>
          <w:p w14:paraId="6DA231B7">
            <w:pPr>
              <w:spacing w:line="300" w:lineRule="exact"/>
              <w:rPr>
                <w:rFonts w:ascii="宋体"/>
              </w:rPr>
            </w:pPr>
          </w:p>
        </w:tc>
      </w:tr>
    </w:tbl>
    <w:p w14:paraId="1BD5BFF4">
      <w:pPr>
        <w:spacing w:beforeLines="50" w:afterLines="100" w:line="440" w:lineRule="exact"/>
        <w:rPr>
          <w:rFonts w:ascii="宋体"/>
          <w:b/>
          <w:bCs/>
          <w:sz w:val="28"/>
          <w:szCs w:val="28"/>
        </w:rPr>
      </w:pPr>
    </w:p>
    <w:p w14:paraId="7FE707D4">
      <w:pPr>
        <w:spacing w:beforeLines="50" w:afterLines="100" w:line="440" w:lineRule="exact"/>
        <w:rPr>
          <w:rFonts w:ascii="宋体"/>
          <w:b/>
          <w:bCs/>
          <w:sz w:val="28"/>
          <w:szCs w:val="28"/>
        </w:rPr>
      </w:pPr>
    </w:p>
    <w:p w14:paraId="7BA8D569">
      <w:pPr>
        <w:jc w:val="center"/>
        <w:rPr>
          <w:rFonts w:hint="eastAsia" w:cs="宋体"/>
          <w:b/>
          <w:bCs/>
          <w:sz w:val="32"/>
          <w:szCs w:val="32"/>
        </w:rPr>
      </w:pPr>
    </w:p>
    <w:p w14:paraId="3F278A0A">
      <w:pPr>
        <w:jc w:val="center"/>
        <w:rPr>
          <w:rFonts w:hint="eastAsia" w:cs="宋体"/>
          <w:b/>
          <w:bCs/>
          <w:sz w:val="32"/>
          <w:szCs w:val="32"/>
        </w:rPr>
      </w:pPr>
    </w:p>
    <w:p w14:paraId="41680A06">
      <w:pPr>
        <w:jc w:val="center"/>
        <w:rPr>
          <w:b/>
          <w:bCs/>
          <w:sz w:val="32"/>
          <w:szCs w:val="32"/>
        </w:rPr>
      </w:pPr>
      <w:r>
        <w:rPr>
          <w:rFonts w:hint="eastAsia" w:cs="宋体"/>
          <w:b/>
          <w:bCs/>
          <w:sz w:val="32"/>
          <w:szCs w:val="32"/>
        </w:rPr>
        <w:t>计划投入的主要施工机械设备表</w:t>
      </w:r>
    </w:p>
    <w:p w14:paraId="08F9CEC4">
      <w:pPr>
        <w:widowControl/>
        <w:spacing w:line="360" w:lineRule="auto"/>
        <w:jc w:val="center"/>
        <w:rPr>
          <w:rFonts w:hAnsi="宋体"/>
          <w:sz w:val="25"/>
          <w:szCs w:val="25"/>
        </w:rPr>
      </w:pPr>
    </w:p>
    <w:tbl>
      <w:tblPr>
        <w:tblStyle w:val="51"/>
        <w:tblW w:w="920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700"/>
        <w:gridCol w:w="700"/>
        <w:gridCol w:w="700"/>
        <w:gridCol w:w="900"/>
        <w:gridCol w:w="900"/>
        <w:gridCol w:w="1100"/>
        <w:gridCol w:w="1100"/>
        <w:gridCol w:w="1600"/>
      </w:tblGrid>
      <w:tr w14:paraId="2B220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 w:type="dxa"/>
          </w:tcPr>
          <w:p w14:paraId="30D1268A">
            <w:pPr>
              <w:widowControl/>
              <w:spacing w:line="360" w:lineRule="auto"/>
              <w:jc w:val="center"/>
              <w:rPr>
                <w:rFonts w:ascii="宋体"/>
                <w:position w:val="-32"/>
                <w:sz w:val="23"/>
                <w:szCs w:val="23"/>
              </w:rPr>
            </w:pPr>
            <w:r>
              <w:rPr>
                <w:rFonts w:hint="eastAsia" w:ascii="宋体" w:hAnsi="宋体" w:cs="宋体"/>
                <w:position w:val="-32"/>
                <w:sz w:val="23"/>
                <w:szCs w:val="23"/>
              </w:rPr>
              <w:t>序号</w:t>
            </w:r>
          </w:p>
        </w:tc>
        <w:tc>
          <w:tcPr>
            <w:tcW w:w="1700" w:type="dxa"/>
          </w:tcPr>
          <w:p w14:paraId="038A7654">
            <w:pPr>
              <w:widowControl/>
              <w:spacing w:line="360" w:lineRule="auto"/>
              <w:jc w:val="center"/>
              <w:rPr>
                <w:rFonts w:ascii="宋体"/>
                <w:position w:val="-50"/>
                <w:sz w:val="23"/>
                <w:szCs w:val="23"/>
              </w:rPr>
            </w:pPr>
            <w:r>
              <w:rPr>
                <w:rFonts w:hint="eastAsia" w:ascii="宋体" w:hAnsi="宋体" w:cs="宋体"/>
                <w:position w:val="-50"/>
                <w:sz w:val="23"/>
                <w:szCs w:val="23"/>
              </w:rPr>
              <w:t>机械设备名称</w:t>
            </w:r>
          </w:p>
        </w:tc>
        <w:tc>
          <w:tcPr>
            <w:tcW w:w="700" w:type="dxa"/>
          </w:tcPr>
          <w:p w14:paraId="111B73D2">
            <w:pPr>
              <w:widowControl/>
              <w:spacing w:line="360" w:lineRule="auto"/>
              <w:jc w:val="center"/>
              <w:rPr>
                <w:rFonts w:ascii="宋体"/>
                <w:position w:val="-30"/>
                <w:sz w:val="23"/>
                <w:szCs w:val="23"/>
              </w:rPr>
            </w:pPr>
            <w:r>
              <w:rPr>
                <w:rFonts w:hint="eastAsia" w:ascii="宋体" w:hAnsi="宋体" w:cs="宋体"/>
                <w:position w:val="-30"/>
                <w:sz w:val="23"/>
                <w:szCs w:val="23"/>
              </w:rPr>
              <w:t>型号规格</w:t>
            </w:r>
          </w:p>
        </w:tc>
        <w:tc>
          <w:tcPr>
            <w:tcW w:w="700" w:type="dxa"/>
          </w:tcPr>
          <w:p w14:paraId="4FAF42B7">
            <w:pPr>
              <w:widowControl/>
              <w:spacing w:line="360" w:lineRule="auto"/>
              <w:jc w:val="center"/>
              <w:rPr>
                <w:rFonts w:ascii="宋体"/>
                <w:position w:val="-50"/>
                <w:sz w:val="23"/>
                <w:szCs w:val="23"/>
              </w:rPr>
            </w:pPr>
            <w:r>
              <w:rPr>
                <w:rFonts w:hint="eastAsia" w:ascii="宋体" w:hAnsi="宋体" w:cs="宋体"/>
                <w:position w:val="-50"/>
                <w:sz w:val="23"/>
                <w:szCs w:val="23"/>
              </w:rPr>
              <w:t>数量</w:t>
            </w:r>
          </w:p>
        </w:tc>
        <w:tc>
          <w:tcPr>
            <w:tcW w:w="900" w:type="dxa"/>
          </w:tcPr>
          <w:p w14:paraId="220CECC4">
            <w:pPr>
              <w:widowControl/>
              <w:spacing w:line="360" w:lineRule="auto"/>
              <w:jc w:val="center"/>
              <w:rPr>
                <w:rFonts w:ascii="宋体"/>
                <w:position w:val="-30"/>
                <w:sz w:val="23"/>
                <w:szCs w:val="23"/>
              </w:rPr>
            </w:pPr>
            <w:r>
              <w:rPr>
                <w:rFonts w:hint="eastAsia" w:ascii="宋体" w:hAnsi="宋体" w:cs="宋体"/>
                <w:position w:val="-30"/>
                <w:sz w:val="23"/>
                <w:szCs w:val="23"/>
              </w:rPr>
              <w:t>国别</w:t>
            </w:r>
          </w:p>
          <w:p w14:paraId="2BD25D62">
            <w:pPr>
              <w:widowControl/>
              <w:spacing w:line="360" w:lineRule="auto"/>
              <w:jc w:val="center"/>
              <w:rPr>
                <w:rFonts w:ascii="宋体"/>
                <w:position w:val="-30"/>
                <w:sz w:val="23"/>
                <w:szCs w:val="23"/>
              </w:rPr>
            </w:pPr>
            <w:r>
              <w:rPr>
                <w:rFonts w:hint="eastAsia" w:ascii="宋体" w:hAnsi="宋体" w:cs="宋体"/>
                <w:position w:val="-30"/>
                <w:sz w:val="23"/>
                <w:szCs w:val="23"/>
              </w:rPr>
              <w:t>产地</w:t>
            </w:r>
          </w:p>
        </w:tc>
        <w:tc>
          <w:tcPr>
            <w:tcW w:w="900" w:type="dxa"/>
          </w:tcPr>
          <w:p w14:paraId="26E67B8F">
            <w:pPr>
              <w:widowControl/>
              <w:spacing w:line="360" w:lineRule="auto"/>
              <w:jc w:val="center"/>
              <w:rPr>
                <w:rFonts w:ascii="宋体"/>
                <w:position w:val="-30"/>
                <w:sz w:val="23"/>
                <w:szCs w:val="23"/>
              </w:rPr>
            </w:pPr>
            <w:r>
              <w:rPr>
                <w:rFonts w:hint="eastAsia" w:ascii="宋体" w:hAnsi="宋体" w:cs="宋体"/>
                <w:position w:val="-30"/>
                <w:sz w:val="23"/>
                <w:szCs w:val="23"/>
              </w:rPr>
              <w:t>制造</w:t>
            </w:r>
          </w:p>
          <w:p w14:paraId="359C5CF3">
            <w:pPr>
              <w:widowControl/>
              <w:spacing w:line="360" w:lineRule="auto"/>
              <w:jc w:val="center"/>
              <w:rPr>
                <w:rFonts w:ascii="宋体"/>
                <w:position w:val="-30"/>
                <w:sz w:val="23"/>
                <w:szCs w:val="23"/>
              </w:rPr>
            </w:pPr>
            <w:r>
              <w:rPr>
                <w:rFonts w:hint="eastAsia" w:ascii="宋体" w:hAnsi="宋体" w:cs="宋体"/>
                <w:position w:val="-30"/>
                <w:sz w:val="23"/>
                <w:szCs w:val="23"/>
              </w:rPr>
              <w:t>年份</w:t>
            </w:r>
          </w:p>
        </w:tc>
        <w:tc>
          <w:tcPr>
            <w:tcW w:w="1100" w:type="dxa"/>
          </w:tcPr>
          <w:p w14:paraId="31013D56">
            <w:pPr>
              <w:widowControl/>
              <w:spacing w:line="360" w:lineRule="auto"/>
              <w:jc w:val="center"/>
              <w:rPr>
                <w:rFonts w:ascii="宋体"/>
                <w:position w:val="-30"/>
              </w:rPr>
            </w:pPr>
            <w:r>
              <w:rPr>
                <w:rFonts w:hint="eastAsia" w:ascii="宋体" w:hAnsi="宋体" w:cs="宋体"/>
                <w:position w:val="-30"/>
              </w:rPr>
              <w:t>额定功率</w:t>
            </w:r>
            <w:r>
              <w:rPr>
                <w:rFonts w:ascii="宋体" w:hAnsi="宋体" w:cs="宋体"/>
                <w:position w:val="-30"/>
              </w:rPr>
              <w:t>(KW)</w:t>
            </w:r>
          </w:p>
        </w:tc>
        <w:tc>
          <w:tcPr>
            <w:tcW w:w="1100" w:type="dxa"/>
          </w:tcPr>
          <w:p w14:paraId="390D517C">
            <w:pPr>
              <w:widowControl/>
              <w:spacing w:line="360" w:lineRule="auto"/>
              <w:jc w:val="center"/>
              <w:rPr>
                <w:rFonts w:ascii="宋体"/>
                <w:position w:val="-30"/>
              </w:rPr>
            </w:pPr>
            <w:r>
              <w:rPr>
                <w:rFonts w:hint="eastAsia" w:ascii="宋体" w:hAnsi="宋体" w:cs="宋体"/>
                <w:position w:val="-30"/>
              </w:rPr>
              <w:t>生产能力</w:t>
            </w:r>
            <w:r>
              <w:rPr>
                <w:rFonts w:ascii="宋体" w:hAnsi="宋体" w:cs="宋体"/>
                <w:position w:val="-30"/>
              </w:rPr>
              <w:t>(MH)</w:t>
            </w:r>
          </w:p>
        </w:tc>
        <w:tc>
          <w:tcPr>
            <w:tcW w:w="1600" w:type="dxa"/>
          </w:tcPr>
          <w:p w14:paraId="7A86F848">
            <w:pPr>
              <w:widowControl/>
              <w:spacing w:line="360" w:lineRule="auto"/>
              <w:jc w:val="center"/>
              <w:rPr>
                <w:rFonts w:ascii="宋体"/>
                <w:position w:val="-50"/>
                <w:sz w:val="23"/>
                <w:szCs w:val="23"/>
              </w:rPr>
            </w:pPr>
            <w:r>
              <w:rPr>
                <w:rFonts w:hint="eastAsia" w:ascii="宋体" w:hAnsi="宋体" w:cs="宋体"/>
                <w:position w:val="-50"/>
                <w:sz w:val="23"/>
                <w:szCs w:val="23"/>
              </w:rPr>
              <w:t>备注</w:t>
            </w:r>
          </w:p>
        </w:tc>
      </w:tr>
      <w:tr w14:paraId="66F9B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1C18FDBE">
            <w:pPr>
              <w:widowControl/>
              <w:spacing w:line="360" w:lineRule="auto"/>
              <w:jc w:val="left"/>
              <w:rPr>
                <w:rFonts w:ascii="宋体"/>
                <w:sz w:val="25"/>
                <w:szCs w:val="25"/>
              </w:rPr>
            </w:pPr>
          </w:p>
        </w:tc>
        <w:tc>
          <w:tcPr>
            <w:tcW w:w="1700" w:type="dxa"/>
          </w:tcPr>
          <w:p w14:paraId="1B2A0C68">
            <w:pPr>
              <w:widowControl/>
              <w:spacing w:line="360" w:lineRule="auto"/>
              <w:jc w:val="left"/>
              <w:rPr>
                <w:rFonts w:ascii="宋体"/>
                <w:sz w:val="25"/>
                <w:szCs w:val="25"/>
              </w:rPr>
            </w:pPr>
          </w:p>
        </w:tc>
        <w:tc>
          <w:tcPr>
            <w:tcW w:w="700" w:type="dxa"/>
          </w:tcPr>
          <w:p w14:paraId="201936DC">
            <w:pPr>
              <w:widowControl/>
              <w:spacing w:line="360" w:lineRule="auto"/>
              <w:jc w:val="left"/>
              <w:rPr>
                <w:rFonts w:ascii="宋体"/>
                <w:sz w:val="25"/>
                <w:szCs w:val="25"/>
              </w:rPr>
            </w:pPr>
          </w:p>
        </w:tc>
        <w:tc>
          <w:tcPr>
            <w:tcW w:w="700" w:type="dxa"/>
          </w:tcPr>
          <w:p w14:paraId="225D9C07">
            <w:pPr>
              <w:widowControl/>
              <w:spacing w:line="360" w:lineRule="auto"/>
              <w:jc w:val="left"/>
              <w:rPr>
                <w:rFonts w:ascii="宋体"/>
                <w:sz w:val="25"/>
                <w:szCs w:val="25"/>
              </w:rPr>
            </w:pPr>
          </w:p>
        </w:tc>
        <w:tc>
          <w:tcPr>
            <w:tcW w:w="900" w:type="dxa"/>
          </w:tcPr>
          <w:p w14:paraId="19CD5CD5">
            <w:pPr>
              <w:widowControl/>
              <w:spacing w:line="360" w:lineRule="auto"/>
              <w:jc w:val="left"/>
              <w:rPr>
                <w:rFonts w:ascii="宋体"/>
                <w:sz w:val="25"/>
                <w:szCs w:val="25"/>
              </w:rPr>
            </w:pPr>
          </w:p>
        </w:tc>
        <w:tc>
          <w:tcPr>
            <w:tcW w:w="900" w:type="dxa"/>
          </w:tcPr>
          <w:p w14:paraId="36C56F51">
            <w:pPr>
              <w:widowControl/>
              <w:spacing w:line="360" w:lineRule="auto"/>
              <w:jc w:val="left"/>
              <w:rPr>
                <w:rFonts w:ascii="宋体"/>
                <w:sz w:val="25"/>
                <w:szCs w:val="25"/>
              </w:rPr>
            </w:pPr>
          </w:p>
        </w:tc>
        <w:tc>
          <w:tcPr>
            <w:tcW w:w="1100" w:type="dxa"/>
          </w:tcPr>
          <w:p w14:paraId="7F7D40F7">
            <w:pPr>
              <w:widowControl/>
              <w:spacing w:line="360" w:lineRule="auto"/>
              <w:jc w:val="left"/>
              <w:rPr>
                <w:rFonts w:ascii="宋体"/>
                <w:sz w:val="25"/>
                <w:szCs w:val="25"/>
              </w:rPr>
            </w:pPr>
          </w:p>
        </w:tc>
        <w:tc>
          <w:tcPr>
            <w:tcW w:w="1100" w:type="dxa"/>
          </w:tcPr>
          <w:p w14:paraId="1DBAFFA7">
            <w:pPr>
              <w:widowControl/>
              <w:spacing w:line="360" w:lineRule="auto"/>
              <w:jc w:val="left"/>
              <w:rPr>
                <w:rFonts w:ascii="宋体"/>
                <w:sz w:val="25"/>
                <w:szCs w:val="25"/>
              </w:rPr>
            </w:pPr>
          </w:p>
        </w:tc>
        <w:tc>
          <w:tcPr>
            <w:tcW w:w="1600" w:type="dxa"/>
          </w:tcPr>
          <w:p w14:paraId="2EDE9041">
            <w:pPr>
              <w:widowControl/>
              <w:spacing w:line="360" w:lineRule="auto"/>
              <w:jc w:val="left"/>
              <w:rPr>
                <w:rFonts w:ascii="宋体"/>
                <w:sz w:val="25"/>
                <w:szCs w:val="25"/>
              </w:rPr>
            </w:pPr>
          </w:p>
        </w:tc>
      </w:tr>
      <w:tr w14:paraId="09349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02938F6">
            <w:pPr>
              <w:widowControl/>
              <w:spacing w:line="360" w:lineRule="auto"/>
              <w:jc w:val="left"/>
              <w:rPr>
                <w:rFonts w:ascii="宋体"/>
                <w:sz w:val="25"/>
                <w:szCs w:val="25"/>
              </w:rPr>
            </w:pPr>
          </w:p>
        </w:tc>
        <w:tc>
          <w:tcPr>
            <w:tcW w:w="1700" w:type="dxa"/>
          </w:tcPr>
          <w:p w14:paraId="224E59CD">
            <w:pPr>
              <w:widowControl/>
              <w:spacing w:line="360" w:lineRule="auto"/>
              <w:jc w:val="left"/>
              <w:rPr>
                <w:rFonts w:ascii="宋体"/>
                <w:sz w:val="25"/>
                <w:szCs w:val="25"/>
              </w:rPr>
            </w:pPr>
          </w:p>
        </w:tc>
        <w:tc>
          <w:tcPr>
            <w:tcW w:w="700" w:type="dxa"/>
          </w:tcPr>
          <w:p w14:paraId="2B71163C">
            <w:pPr>
              <w:widowControl/>
              <w:spacing w:line="360" w:lineRule="auto"/>
              <w:jc w:val="left"/>
              <w:rPr>
                <w:rFonts w:ascii="宋体"/>
                <w:sz w:val="25"/>
                <w:szCs w:val="25"/>
              </w:rPr>
            </w:pPr>
          </w:p>
        </w:tc>
        <w:tc>
          <w:tcPr>
            <w:tcW w:w="700" w:type="dxa"/>
          </w:tcPr>
          <w:p w14:paraId="63F73455">
            <w:pPr>
              <w:widowControl/>
              <w:spacing w:line="360" w:lineRule="auto"/>
              <w:jc w:val="left"/>
              <w:rPr>
                <w:rFonts w:ascii="宋体"/>
                <w:sz w:val="25"/>
                <w:szCs w:val="25"/>
              </w:rPr>
            </w:pPr>
          </w:p>
        </w:tc>
        <w:tc>
          <w:tcPr>
            <w:tcW w:w="900" w:type="dxa"/>
          </w:tcPr>
          <w:p w14:paraId="335DFEB0">
            <w:pPr>
              <w:widowControl/>
              <w:spacing w:line="360" w:lineRule="auto"/>
              <w:jc w:val="left"/>
              <w:rPr>
                <w:rFonts w:ascii="宋体"/>
                <w:sz w:val="25"/>
                <w:szCs w:val="25"/>
              </w:rPr>
            </w:pPr>
          </w:p>
        </w:tc>
        <w:tc>
          <w:tcPr>
            <w:tcW w:w="900" w:type="dxa"/>
          </w:tcPr>
          <w:p w14:paraId="5162CE46">
            <w:pPr>
              <w:widowControl/>
              <w:spacing w:line="360" w:lineRule="auto"/>
              <w:jc w:val="left"/>
              <w:rPr>
                <w:rFonts w:ascii="宋体"/>
                <w:sz w:val="25"/>
                <w:szCs w:val="25"/>
              </w:rPr>
            </w:pPr>
          </w:p>
        </w:tc>
        <w:tc>
          <w:tcPr>
            <w:tcW w:w="1100" w:type="dxa"/>
          </w:tcPr>
          <w:p w14:paraId="1B2CA6B7">
            <w:pPr>
              <w:widowControl/>
              <w:spacing w:line="360" w:lineRule="auto"/>
              <w:jc w:val="left"/>
              <w:rPr>
                <w:rFonts w:ascii="宋体"/>
                <w:sz w:val="25"/>
                <w:szCs w:val="25"/>
              </w:rPr>
            </w:pPr>
          </w:p>
        </w:tc>
        <w:tc>
          <w:tcPr>
            <w:tcW w:w="1100" w:type="dxa"/>
          </w:tcPr>
          <w:p w14:paraId="6010966B">
            <w:pPr>
              <w:widowControl/>
              <w:spacing w:line="360" w:lineRule="auto"/>
              <w:jc w:val="left"/>
              <w:rPr>
                <w:rFonts w:ascii="宋体"/>
                <w:sz w:val="25"/>
                <w:szCs w:val="25"/>
              </w:rPr>
            </w:pPr>
          </w:p>
        </w:tc>
        <w:tc>
          <w:tcPr>
            <w:tcW w:w="1600" w:type="dxa"/>
          </w:tcPr>
          <w:p w14:paraId="1FAD47D7">
            <w:pPr>
              <w:widowControl/>
              <w:spacing w:line="360" w:lineRule="auto"/>
              <w:jc w:val="left"/>
              <w:rPr>
                <w:rFonts w:ascii="宋体"/>
                <w:sz w:val="25"/>
                <w:szCs w:val="25"/>
              </w:rPr>
            </w:pPr>
          </w:p>
        </w:tc>
      </w:tr>
      <w:tr w14:paraId="2425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48530DDF">
            <w:pPr>
              <w:widowControl/>
              <w:spacing w:line="360" w:lineRule="auto"/>
              <w:jc w:val="left"/>
              <w:rPr>
                <w:rFonts w:ascii="宋体"/>
                <w:sz w:val="25"/>
                <w:szCs w:val="25"/>
              </w:rPr>
            </w:pPr>
          </w:p>
        </w:tc>
        <w:tc>
          <w:tcPr>
            <w:tcW w:w="1700" w:type="dxa"/>
          </w:tcPr>
          <w:p w14:paraId="433D41B9">
            <w:pPr>
              <w:widowControl/>
              <w:spacing w:line="360" w:lineRule="auto"/>
              <w:jc w:val="left"/>
              <w:rPr>
                <w:rFonts w:ascii="宋体"/>
                <w:sz w:val="25"/>
                <w:szCs w:val="25"/>
              </w:rPr>
            </w:pPr>
          </w:p>
        </w:tc>
        <w:tc>
          <w:tcPr>
            <w:tcW w:w="700" w:type="dxa"/>
          </w:tcPr>
          <w:p w14:paraId="513E963B">
            <w:pPr>
              <w:widowControl/>
              <w:spacing w:line="360" w:lineRule="auto"/>
              <w:jc w:val="left"/>
              <w:rPr>
                <w:rFonts w:ascii="宋体"/>
                <w:sz w:val="25"/>
                <w:szCs w:val="25"/>
              </w:rPr>
            </w:pPr>
          </w:p>
        </w:tc>
        <w:tc>
          <w:tcPr>
            <w:tcW w:w="700" w:type="dxa"/>
          </w:tcPr>
          <w:p w14:paraId="682BAAD6">
            <w:pPr>
              <w:widowControl/>
              <w:spacing w:line="360" w:lineRule="auto"/>
              <w:jc w:val="left"/>
              <w:rPr>
                <w:rFonts w:ascii="宋体"/>
                <w:sz w:val="25"/>
                <w:szCs w:val="25"/>
              </w:rPr>
            </w:pPr>
          </w:p>
        </w:tc>
        <w:tc>
          <w:tcPr>
            <w:tcW w:w="900" w:type="dxa"/>
          </w:tcPr>
          <w:p w14:paraId="3F771123">
            <w:pPr>
              <w:widowControl/>
              <w:spacing w:line="360" w:lineRule="auto"/>
              <w:jc w:val="left"/>
              <w:rPr>
                <w:rFonts w:ascii="宋体"/>
                <w:sz w:val="25"/>
                <w:szCs w:val="25"/>
              </w:rPr>
            </w:pPr>
          </w:p>
        </w:tc>
        <w:tc>
          <w:tcPr>
            <w:tcW w:w="900" w:type="dxa"/>
          </w:tcPr>
          <w:p w14:paraId="4EB94CDD">
            <w:pPr>
              <w:widowControl/>
              <w:spacing w:line="360" w:lineRule="auto"/>
              <w:jc w:val="left"/>
              <w:rPr>
                <w:rFonts w:ascii="宋体"/>
                <w:sz w:val="25"/>
                <w:szCs w:val="25"/>
              </w:rPr>
            </w:pPr>
          </w:p>
        </w:tc>
        <w:tc>
          <w:tcPr>
            <w:tcW w:w="1100" w:type="dxa"/>
          </w:tcPr>
          <w:p w14:paraId="227570D9">
            <w:pPr>
              <w:widowControl/>
              <w:spacing w:line="360" w:lineRule="auto"/>
              <w:jc w:val="left"/>
              <w:rPr>
                <w:rFonts w:ascii="宋体"/>
                <w:sz w:val="25"/>
                <w:szCs w:val="25"/>
              </w:rPr>
            </w:pPr>
          </w:p>
        </w:tc>
        <w:tc>
          <w:tcPr>
            <w:tcW w:w="1100" w:type="dxa"/>
          </w:tcPr>
          <w:p w14:paraId="3AD7EA98">
            <w:pPr>
              <w:widowControl/>
              <w:spacing w:line="360" w:lineRule="auto"/>
              <w:jc w:val="left"/>
              <w:rPr>
                <w:rFonts w:ascii="宋体"/>
                <w:sz w:val="25"/>
                <w:szCs w:val="25"/>
              </w:rPr>
            </w:pPr>
          </w:p>
        </w:tc>
        <w:tc>
          <w:tcPr>
            <w:tcW w:w="1600" w:type="dxa"/>
          </w:tcPr>
          <w:p w14:paraId="345D1C83">
            <w:pPr>
              <w:widowControl/>
              <w:spacing w:line="360" w:lineRule="auto"/>
              <w:jc w:val="left"/>
              <w:rPr>
                <w:rFonts w:ascii="宋体"/>
                <w:sz w:val="25"/>
                <w:szCs w:val="25"/>
              </w:rPr>
            </w:pPr>
          </w:p>
        </w:tc>
      </w:tr>
      <w:tr w14:paraId="085AB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3279B91C">
            <w:pPr>
              <w:widowControl/>
              <w:spacing w:line="360" w:lineRule="auto"/>
              <w:jc w:val="left"/>
              <w:rPr>
                <w:rFonts w:ascii="宋体"/>
                <w:sz w:val="25"/>
                <w:szCs w:val="25"/>
              </w:rPr>
            </w:pPr>
          </w:p>
        </w:tc>
        <w:tc>
          <w:tcPr>
            <w:tcW w:w="1700" w:type="dxa"/>
          </w:tcPr>
          <w:p w14:paraId="2B898937">
            <w:pPr>
              <w:widowControl/>
              <w:spacing w:line="360" w:lineRule="auto"/>
              <w:jc w:val="left"/>
              <w:rPr>
                <w:rFonts w:ascii="宋体"/>
                <w:sz w:val="25"/>
                <w:szCs w:val="25"/>
              </w:rPr>
            </w:pPr>
          </w:p>
        </w:tc>
        <w:tc>
          <w:tcPr>
            <w:tcW w:w="700" w:type="dxa"/>
          </w:tcPr>
          <w:p w14:paraId="0F8F486E">
            <w:pPr>
              <w:widowControl/>
              <w:spacing w:line="360" w:lineRule="auto"/>
              <w:jc w:val="left"/>
              <w:rPr>
                <w:rFonts w:ascii="宋体"/>
                <w:sz w:val="25"/>
                <w:szCs w:val="25"/>
              </w:rPr>
            </w:pPr>
          </w:p>
        </w:tc>
        <w:tc>
          <w:tcPr>
            <w:tcW w:w="700" w:type="dxa"/>
          </w:tcPr>
          <w:p w14:paraId="7B84BF2E">
            <w:pPr>
              <w:widowControl/>
              <w:spacing w:line="360" w:lineRule="auto"/>
              <w:jc w:val="left"/>
              <w:rPr>
                <w:rFonts w:ascii="宋体"/>
                <w:sz w:val="25"/>
                <w:szCs w:val="25"/>
              </w:rPr>
            </w:pPr>
          </w:p>
        </w:tc>
        <w:tc>
          <w:tcPr>
            <w:tcW w:w="900" w:type="dxa"/>
          </w:tcPr>
          <w:p w14:paraId="000C5170">
            <w:pPr>
              <w:widowControl/>
              <w:spacing w:line="360" w:lineRule="auto"/>
              <w:jc w:val="left"/>
              <w:rPr>
                <w:rFonts w:ascii="宋体"/>
                <w:sz w:val="25"/>
                <w:szCs w:val="25"/>
              </w:rPr>
            </w:pPr>
          </w:p>
        </w:tc>
        <w:tc>
          <w:tcPr>
            <w:tcW w:w="900" w:type="dxa"/>
          </w:tcPr>
          <w:p w14:paraId="4FCEECB3">
            <w:pPr>
              <w:widowControl/>
              <w:spacing w:line="360" w:lineRule="auto"/>
              <w:jc w:val="left"/>
              <w:rPr>
                <w:rFonts w:ascii="宋体"/>
                <w:sz w:val="25"/>
                <w:szCs w:val="25"/>
              </w:rPr>
            </w:pPr>
          </w:p>
        </w:tc>
        <w:tc>
          <w:tcPr>
            <w:tcW w:w="1100" w:type="dxa"/>
          </w:tcPr>
          <w:p w14:paraId="021A375A">
            <w:pPr>
              <w:widowControl/>
              <w:spacing w:line="360" w:lineRule="auto"/>
              <w:jc w:val="left"/>
              <w:rPr>
                <w:rFonts w:ascii="宋体"/>
                <w:sz w:val="25"/>
                <w:szCs w:val="25"/>
              </w:rPr>
            </w:pPr>
          </w:p>
        </w:tc>
        <w:tc>
          <w:tcPr>
            <w:tcW w:w="1100" w:type="dxa"/>
          </w:tcPr>
          <w:p w14:paraId="7F64C242">
            <w:pPr>
              <w:widowControl/>
              <w:spacing w:line="360" w:lineRule="auto"/>
              <w:jc w:val="left"/>
              <w:rPr>
                <w:rFonts w:ascii="宋体"/>
                <w:sz w:val="25"/>
                <w:szCs w:val="25"/>
              </w:rPr>
            </w:pPr>
          </w:p>
        </w:tc>
        <w:tc>
          <w:tcPr>
            <w:tcW w:w="1600" w:type="dxa"/>
          </w:tcPr>
          <w:p w14:paraId="7D8EBEFE">
            <w:pPr>
              <w:widowControl/>
              <w:spacing w:line="360" w:lineRule="auto"/>
              <w:jc w:val="left"/>
              <w:rPr>
                <w:rFonts w:ascii="宋体"/>
                <w:sz w:val="25"/>
                <w:szCs w:val="25"/>
              </w:rPr>
            </w:pPr>
          </w:p>
        </w:tc>
      </w:tr>
      <w:tr w14:paraId="00ED6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14E0CBB2">
            <w:pPr>
              <w:widowControl/>
              <w:spacing w:line="360" w:lineRule="auto"/>
              <w:jc w:val="left"/>
              <w:rPr>
                <w:rFonts w:ascii="宋体"/>
                <w:sz w:val="25"/>
                <w:szCs w:val="25"/>
              </w:rPr>
            </w:pPr>
          </w:p>
        </w:tc>
        <w:tc>
          <w:tcPr>
            <w:tcW w:w="1700" w:type="dxa"/>
          </w:tcPr>
          <w:p w14:paraId="7D63B916">
            <w:pPr>
              <w:widowControl/>
              <w:spacing w:line="360" w:lineRule="auto"/>
              <w:jc w:val="left"/>
              <w:rPr>
                <w:rFonts w:ascii="宋体"/>
                <w:sz w:val="25"/>
                <w:szCs w:val="25"/>
              </w:rPr>
            </w:pPr>
          </w:p>
        </w:tc>
        <w:tc>
          <w:tcPr>
            <w:tcW w:w="700" w:type="dxa"/>
          </w:tcPr>
          <w:p w14:paraId="03EB00A8">
            <w:pPr>
              <w:widowControl/>
              <w:spacing w:line="360" w:lineRule="auto"/>
              <w:jc w:val="left"/>
              <w:rPr>
                <w:rFonts w:ascii="宋体"/>
                <w:sz w:val="25"/>
                <w:szCs w:val="25"/>
              </w:rPr>
            </w:pPr>
          </w:p>
        </w:tc>
        <w:tc>
          <w:tcPr>
            <w:tcW w:w="700" w:type="dxa"/>
          </w:tcPr>
          <w:p w14:paraId="23F6015C">
            <w:pPr>
              <w:widowControl/>
              <w:spacing w:line="360" w:lineRule="auto"/>
              <w:jc w:val="left"/>
              <w:rPr>
                <w:rFonts w:ascii="宋体"/>
                <w:sz w:val="25"/>
                <w:szCs w:val="25"/>
              </w:rPr>
            </w:pPr>
          </w:p>
        </w:tc>
        <w:tc>
          <w:tcPr>
            <w:tcW w:w="900" w:type="dxa"/>
          </w:tcPr>
          <w:p w14:paraId="76FCA20A">
            <w:pPr>
              <w:widowControl/>
              <w:spacing w:line="360" w:lineRule="auto"/>
              <w:jc w:val="left"/>
              <w:rPr>
                <w:rFonts w:ascii="宋体"/>
                <w:sz w:val="25"/>
                <w:szCs w:val="25"/>
              </w:rPr>
            </w:pPr>
          </w:p>
        </w:tc>
        <w:tc>
          <w:tcPr>
            <w:tcW w:w="900" w:type="dxa"/>
          </w:tcPr>
          <w:p w14:paraId="1E926A42">
            <w:pPr>
              <w:widowControl/>
              <w:spacing w:line="360" w:lineRule="auto"/>
              <w:jc w:val="left"/>
              <w:rPr>
                <w:rFonts w:ascii="宋体"/>
                <w:sz w:val="25"/>
                <w:szCs w:val="25"/>
              </w:rPr>
            </w:pPr>
          </w:p>
        </w:tc>
        <w:tc>
          <w:tcPr>
            <w:tcW w:w="1100" w:type="dxa"/>
          </w:tcPr>
          <w:p w14:paraId="43819EB4">
            <w:pPr>
              <w:widowControl/>
              <w:spacing w:line="360" w:lineRule="auto"/>
              <w:jc w:val="left"/>
              <w:rPr>
                <w:rFonts w:ascii="宋体"/>
                <w:sz w:val="25"/>
                <w:szCs w:val="25"/>
              </w:rPr>
            </w:pPr>
          </w:p>
        </w:tc>
        <w:tc>
          <w:tcPr>
            <w:tcW w:w="1100" w:type="dxa"/>
          </w:tcPr>
          <w:p w14:paraId="5AC03EDB">
            <w:pPr>
              <w:widowControl/>
              <w:spacing w:line="360" w:lineRule="auto"/>
              <w:jc w:val="left"/>
              <w:rPr>
                <w:rFonts w:ascii="宋体"/>
                <w:sz w:val="25"/>
                <w:szCs w:val="25"/>
              </w:rPr>
            </w:pPr>
          </w:p>
        </w:tc>
        <w:tc>
          <w:tcPr>
            <w:tcW w:w="1600" w:type="dxa"/>
          </w:tcPr>
          <w:p w14:paraId="4493D2E2">
            <w:pPr>
              <w:widowControl/>
              <w:spacing w:line="360" w:lineRule="auto"/>
              <w:jc w:val="left"/>
              <w:rPr>
                <w:rFonts w:ascii="宋体"/>
                <w:sz w:val="25"/>
                <w:szCs w:val="25"/>
              </w:rPr>
            </w:pPr>
          </w:p>
        </w:tc>
      </w:tr>
      <w:tr w14:paraId="343A2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4BAE1311">
            <w:pPr>
              <w:widowControl/>
              <w:spacing w:line="360" w:lineRule="auto"/>
              <w:jc w:val="left"/>
              <w:rPr>
                <w:rFonts w:ascii="宋体"/>
                <w:sz w:val="25"/>
                <w:szCs w:val="25"/>
              </w:rPr>
            </w:pPr>
          </w:p>
        </w:tc>
        <w:tc>
          <w:tcPr>
            <w:tcW w:w="1700" w:type="dxa"/>
          </w:tcPr>
          <w:p w14:paraId="12AF6AED">
            <w:pPr>
              <w:widowControl/>
              <w:spacing w:line="360" w:lineRule="auto"/>
              <w:jc w:val="left"/>
              <w:rPr>
                <w:rFonts w:ascii="宋体"/>
                <w:sz w:val="25"/>
                <w:szCs w:val="25"/>
              </w:rPr>
            </w:pPr>
          </w:p>
        </w:tc>
        <w:tc>
          <w:tcPr>
            <w:tcW w:w="700" w:type="dxa"/>
          </w:tcPr>
          <w:p w14:paraId="1896E7D0">
            <w:pPr>
              <w:widowControl/>
              <w:spacing w:line="360" w:lineRule="auto"/>
              <w:jc w:val="left"/>
              <w:rPr>
                <w:rFonts w:ascii="宋体"/>
                <w:sz w:val="25"/>
                <w:szCs w:val="25"/>
              </w:rPr>
            </w:pPr>
          </w:p>
        </w:tc>
        <w:tc>
          <w:tcPr>
            <w:tcW w:w="700" w:type="dxa"/>
          </w:tcPr>
          <w:p w14:paraId="377113D0">
            <w:pPr>
              <w:widowControl/>
              <w:spacing w:line="360" w:lineRule="auto"/>
              <w:jc w:val="left"/>
              <w:rPr>
                <w:rFonts w:ascii="宋体"/>
                <w:sz w:val="25"/>
                <w:szCs w:val="25"/>
              </w:rPr>
            </w:pPr>
          </w:p>
        </w:tc>
        <w:tc>
          <w:tcPr>
            <w:tcW w:w="900" w:type="dxa"/>
          </w:tcPr>
          <w:p w14:paraId="64EA31C7">
            <w:pPr>
              <w:widowControl/>
              <w:spacing w:line="360" w:lineRule="auto"/>
              <w:jc w:val="left"/>
              <w:rPr>
                <w:rFonts w:ascii="宋体"/>
                <w:sz w:val="25"/>
                <w:szCs w:val="25"/>
              </w:rPr>
            </w:pPr>
          </w:p>
        </w:tc>
        <w:tc>
          <w:tcPr>
            <w:tcW w:w="900" w:type="dxa"/>
          </w:tcPr>
          <w:p w14:paraId="0075AF03">
            <w:pPr>
              <w:widowControl/>
              <w:spacing w:line="360" w:lineRule="auto"/>
              <w:jc w:val="left"/>
              <w:rPr>
                <w:rFonts w:ascii="宋体"/>
                <w:sz w:val="25"/>
                <w:szCs w:val="25"/>
              </w:rPr>
            </w:pPr>
          </w:p>
        </w:tc>
        <w:tc>
          <w:tcPr>
            <w:tcW w:w="1100" w:type="dxa"/>
          </w:tcPr>
          <w:p w14:paraId="42ABC20F">
            <w:pPr>
              <w:widowControl/>
              <w:spacing w:line="360" w:lineRule="auto"/>
              <w:jc w:val="left"/>
              <w:rPr>
                <w:rFonts w:ascii="宋体"/>
                <w:sz w:val="25"/>
                <w:szCs w:val="25"/>
              </w:rPr>
            </w:pPr>
          </w:p>
        </w:tc>
        <w:tc>
          <w:tcPr>
            <w:tcW w:w="1100" w:type="dxa"/>
          </w:tcPr>
          <w:p w14:paraId="188625CC">
            <w:pPr>
              <w:widowControl/>
              <w:spacing w:line="360" w:lineRule="auto"/>
              <w:jc w:val="left"/>
              <w:rPr>
                <w:rFonts w:ascii="宋体"/>
                <w:sz w:val="25"/>
                <w:szCs w:val="25"/>
              </w:rPr>
            </w:pPr>
          </w:p>
        </w:tc>
        <w:tc>
          <w:tcPr>
            <w:tcW w:w="1600" w:type="dxa"/>
          </w:tcPr>
          <w:p w14:paraId="5D10DD65">
            <w:pPr>
              <w:widowControl/>
              <w:spacing w:line="360" w:lineRule="auto"/>
              <w:jc w:val="left"/>
              <w:rPr>
                <w:rFonts w:ascii="宋体"/>
                <w:sz w:val="25"/>
                <w:szCs w:val="25"/>
              </w:rPr>
            </w:pPr>
          </w:p>
        </w:tc>
      </w:tr>
      <w:tr w14:paraId="07F36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7CFF03F7">
            <w:pPr>
              <w:widowControl/>
              <w:spacing w:line="360" w:lineRule="auto"/>
              <w:jc w:val="left"/>
              <w:rPr>
                <w:rFonts w:ascii="宋体"/>
                <w:sz w:val="25"/>
                <w:szCs w:val="25"/>
              </w:rPr>
            </w:pPr>
          </w:p>
        </w:tc>
        <w:tc>
          <w:tcPr>
            <w:tcW w:w="1700" w:type="dxa"/>
          </w:tcPr>
          <w:p w14:paraId="273BE8C1">
            <w:pPr>
              <w:widowControl/>
              <w:spacing w:line="360" w:lineRule="auto"/>
              <w:jc w:val="left"/>
              <w:rPr>
                <w:rFonts w:ascii="宋体"/>
                <w:sz w:val="25"/>
                <w:szCs w:val="25"/>
              </w:rPr>
            </w:pPr>
          </w:p>
        </w:tc>
        <w:tc>
          <w:tcPr>
            <w:tcW w:w="700" w:type="dxa"/>
          </w:tcPr>
          <w:p w14:paraId="3A83BCC4">
            <w:pPr>
              <w:widowControl/>
              <w:spacing w:line="360" w:lineRule="auto"/>
              <w:jc w:val="left"/>
              <w:rPr>
                <w:rFonts w:ascii="宋体"/>
                <w:sz w:val="25"/>
                <w:szCs w:val="25"/>
              </w:rPr>
            </w:pPr>
          </w:p>
        </w:tc>
        <w:tc>
          <w:tcPr>
            <w:tcW w:w="700" w:type="dxa"/>
          </w:tcPr>
          <w:p w14:paraId="4E3DC475">
            <w:pPr>
              <w:widowControl/>
              <w:spacing w:line="360" w:lineRule="auto"/>
              <w:jc w:val="left"/>
              <w:rPr>
                <w:rFonts w:ascii="宋体"/>
                <w:sz w:val="25"/>
                <w:szCs w:val="25"/>
              </w:rPr>
            </w:pPr>
          </w:p>
        </w:tc>
        <w:tc>
          <w:tcPr>
            <w:tcW w:w="900" w:type="dxa"/>
          </w:tcPr>
          <w:p w14:paraId="11473845">
            <w:pPr>
              <w:widowControl/>
              <w:spacing w:line="360" w:lineRule="auto"/>
              <w:jc w:val="left"/>
              <w:rPr>
                <w:rFonts w:ascii="宋体"/>
                <w:sz w:val="25"/>
                <w:szCs w:val="25"/>
              </w:rPr>
            </w:pPr>
          </w:p>
        </w:tc>
        <w:tc>
          <w:tcPr>
            <w:tcW w:w="900" w:type="dxa"/>
          </w:tcPr>
          <w:p w14:paraId="321A4BCF">
            <w:pPr>
              <w:widowControl/>
              <w:spacing w:line="360" w:lineRule="auto"/>
              <w:jc w:val="left"/>
              <w:rPr>
                <w:rFonts w:ascii="宋体"/>
                <w:sz w:val="25"/>
                <w:szCs w:val="25"/>
              </w:rPr>
            </w:pPr>
          </w:p>
        </w:tc>
        <w:tc>
          <w:tcPr>
            <w:tcW w:w="1100" w:type="dxa"/>
          </w:tcPr>
          <w:p w14:paraId="0C61AF91">
            <w:pPr>
              <w:widowControl/>
              <w:spacing w:line="360" w:lineRule="auto"/>
              <w:jc w:val="left"/>
              <w:rPr>
                <w:rFonts w:ascii="宋体"/>
                <w:sz w:val="25"/>
                <w:szCs w:val="25"/>
              </w:rPr>
            </w:pPr>
          </w:p>
        </w:tc>
        <w:tc>
          <w:tcPr>
            <w:tcW w:w="1100" w:type="dxa"/>
          </w:tcPr>
          <w:p w14:paraId="51D5E41D">
            <w:pPr>
              <w:widowControl/>
              <w:spacing w:line="360" w:lineRule="auto"/>
              <w:jc w:val="left"/>
              <w:rPr>
                <w:rFonts w:ascii="宋体"/>
                <w:sz w:val="25"/>
                <w:szCs w:val="25"/>
              </w:rPr>
            </w:pPr>
          </w:p>
        </w:tc>
        <w:tc>
          <w:tcPr>
            <w:tcW w:w="1600" w:type="dxa"/>
          </w:tcPr>
          <w:p w14:paraId="699DC165">
            <w:pPr>
              <w:widowControl/>
              <w:spacing w:line="360" w:lineRule="auto"/>
              <w:jc w:val="left"/>
              <w:rPr>
                <w:rFonts w:ascii="宋体"/>
                <w:sz w:val="25"/>
                <w:szCs w:val="25"/>
              </w:rPr>
            </w:pPr>
          </w:p>
        </w:tc>
      </w:tr>
      <w:tr w14:paraId="07EA8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D3EF644">
            <w:pPr>
              <w:widowControl/>
              <w:spacing w:line="360" w:lineRule="auto"/>
              <w:jc w:val="left"/>
              <w:rPr>
                <w:rFonts w:ascii="宋体"/>
                <w:sz w:val="25"/>
                <w:szCs w:val="25"/>
              </w:rPr>
            </w:pPr>
          </w:p>
        </w:tc>
        <w:tc>
          <w:tcPr>
            <w:tcW w:w="1700" w:type="dxa"/>
          </w:tcPr>
          <w:p w14:paraId="0DD8DD37">
            <w:pPr>
              <w:widowControl/>
              <w:spacing w:line="360" w:lineRule="auto"/>
              <w:jc w:val="left"/>
              <w:rPr>
                <w:rFonts w:ascii="宋体"/>
                <w:sz w:val="25"/>
                <w:szCs w:val="25"/>
              </w:rPr>
            </w:pPr>
          </w:p>
        </w:tc>
        <w:tc>
          <w:tcPr>
            <w:tcW w:w="700" w:type="dxa"/>
          </w:tcPr>
          <w:p w14:paraId="24125AD9">
            <w:pPr>
              <w:widowControl/>
              <w:spacing w:line="360" w:lineRule="auto"/>
              <w:jc w:val="left"/>
              <w:rPr>
                <w:rFonts w:ascii="宋体"/>
                <w:sz w:val="25"/>
                <w:szCs w:val="25"/>
              </w:rPr>
            </w:pPr>
          </w:p>
        </w:tc>
        <w:tc>
          <w:tcPr>
            <w:tcW w:w="700" w:type="dxa"/>
          </w:tcPr>
          <w:p w14:paraId="4781A01E">
            <w:pPr>
              <w:widowControl/>
              <w:spacing w:line="360" w:lineRule="auto"/>
              <w:jc w:val="left"/>
              <w:rPr>
                <w:rFonts w:ascii="宋体"/>
                <w:sz w:val="25"/>
                <w:szCs w:val="25"/>
              </w:rPr>
            </w:pPr>
          </w:p>
        </w:tc>
        <w:tc>
          <w:tcPr>
            <w:tcW w:w="900" w:type="dxa"/>
          </w:tcPr>
          <w:p w14:paraId="4A75ACC8">
            <w:pPr>
              <w:widowControl/>
              <w:spacing w:line="360" w:lineRule="auto"/>
              <w:jc w:val="left"/>
              <w:rPr>
                <w:rFonts w:ascii="宋体"/>
                <w:sz w:val="25"/>
                <w:szCs w:val="25"/>
              </w:rPr>
            </w:pPr>
          </w:p>
        </w:tc>
        <w:tc>
          <w:tcPr>
            <w:tcW w:w="900" w:type="dxa"/>
          </w:tcPr>
          <w:p w14:paraId="4931472F">
            <w:pPr>
              <w:widowControl/>
              <w:spacing w:line="360" w:lineRule="auto"/>
              <w:jc w:val="left"/>
              <w:rPr>
                <w:rFonts w:ascii="宋体"/>
                <w:sz w:val="25"/>
                <w:szCs w:val="25"/>
              </w:rPr>
            </w:pPr>
          </w:p>
        </w:tc>
        <w:tc>
          <w:tcPr>
            <w:tcW w:w="1100" w:type="dxa"/>
          </w:tcPr>
          <w:p w14:paraId="502E8EFB">
            <w:pPr>
              <w:widowControl/>
              <w:spacing w:line="360" w:lineRule="auto"/>
              <w:jc w:val="left"/>
              <w:rPr>
                <w:rFonts w:ascii="宋体"/>
                <w:sz w:val="25"/>
                <w:szCs w:val="25"/>
              </w:rPr>
            </w:pPr>
          </w:p>
        </w:tc>
        <w:tc>
          <w:tcPr>
            <w:tcW w:w="1100" w:type="dxa"/>
          </w:tcPr>
          <w:p w14:paraId="7A04DAD0">
            <w:pPr>
              <w:widowControl/>
              <w:spacing w:line="360" w:lineRule="auto"/>
              <w:jc w:val="left"/>
              <w:rPr>
                <w:rFonts w:ascii="宋体"/>
                <w:sz w:val="25"/>
                <w:szCs w:val="25"/>
              </w:rPr>
            </w:pPr>
          </w:p>
        </w:tc>
        <w:tc>
          <w:tcPr>
            <w:tcW w:w="1600" w:type="dxa"/>
          </w:tcPr>
          <w:p w14:paraId="7A0A6891">
            <w:pPr>
              <w:widowControl/>
              <w:spacing w:line="360" w:lineRule="auto"/>
              <w:jc w:val="left"/>
              <w:rPr>
                <w:rFonts w:ascii="宋体"/>
                <w:sz w:val="25"/>
                <w:szCs w:val="25"/>
              </w:rPr>
            </w:pPr>
          </w:p>
        </w:tc>
      </w:tr>
      <w:tr w14:paraId="029AA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115283B0">
            <w:pPr>
              <w:widowControl/>
              <w:spacing w:line="360" w:lineRule="auto"/>
              <w:jc w:val="left"/>
              <w:rPr>
                <w:rFonts w:ascii="宋体"/>
                <w:sz w:val="25"/>
                <w:szCs w:val="25"/>
              </w:rPr>
            </w:pPr>
          </w:p>
        </w:tc>
        <w:tc>
          <w:tcPr>
            <w:tcW w:w="1700" w:type="dxa"/>
          </w:tcPr>
          <w:p w14:paraId="0695359F">
            <w:pPr>
              <w:widowControl/>
              <w:spacing w:line="360" w:lineRule="auto"/>
              <w:jc w:val="left"/>
              <w:rPr>
                <w:rFonts w:ascii="宋体"/>
                <w:sz w:val="25"/>
                <w:szCs w:val="25"/>
              </w:rPr>
            </w:pPr>
          </w:p>
        </w:tc>
        <w:tc>
          <w:tcPr>
            <w:tcW w:w="700" w:type="dxa"/>
          </w:tcPr>
          <w:p w14:paraId="2C2BDE7D">
            <w:pPr>
              <w:widowControl/>
              <w:spacing w:line="360" w:lineRule="auto"/>
              <w:jc w:val="left"/>
              <w:rPr>
                <w:rFonts w:ascii="宋体"/>
                <w:sz w:val="25"/>
                <w:szCs w:val="25"/>
              </w:rPr>
            </w:pPr>
          </w:p>
        </w:tc>
        <w:tc>
          <w:tcPr>
            <w:tcW w:w="700" w:type="dxa"/>
          </w:tcPr>
          <w:p w14:paraId="11C7A4CB">
            <w:pPr>
              <w:widowControl/>
              <w:spacing w:line="360" w:lineRule="auto"/>
              <w:jc w:val="left"/>
              <w:rPr>
                <w:rFonts w:ascii="宋体"/>
                <w:sz w:val="25"/>
                <w:szCs w:val="25"/>
              </w:rPr>
            </w:pPr>
          </w:p>
        </w:tc>
        <w:tc>
          <w:tcPr>
            <w:tcW w:w="900" w:type="dxa"/>
          </w:tcPr>
          <w:p w14:paraId="21B1E473">
            <w:pPr>
              <w:widowControl/>
              <w:spacing w:line="360" w:lineRule="auto"/>
              <w:jc w:val="left"/>
              <w:rPr>
                <w:rFonts w:ascii="宋体"/>
                <w:sz w:val="25"/>
                <w:szCs w:val="25"/>
              </w:rPr>
            </w:pPr>
          </w:p>
        </w:tc>
        <w:tc>
          <w:tcPr>
            <w:tcW w:w="900" w:type="dxa"/>
          </w:tcPr>
          <w:p w14:paraId="05366866">
            <w:pPr>
              <w:widowControl/>
              <w:spacing w:line="360" w:lineRule="auto"/>
              <w:jc w:val="left"/>
              <w:rPr>
                <w:rFonts w:ascii="宋体"/>
                <w:sz w:val="25"/>
                <w:szCs w:val="25"/>
              </w:rPr>
            </w:pPr>
          </w:p>
        </w:tc>
        <w:tc>
          <w:tcPr>
            <w:tcW w:w="1100" w:type="dxa"/>
          </w:tcPr>
          <w:p w14:paraId="43FC5457">
            <w:pPr>
              <w:widowControl/>
              <w:spacing w:line="360" w:lineRule="auto"/>
              <w:jc w:val="left"/>
              <w:rPr>
                <w:rFonts w:ascii="宋体"/>
                <w:sz w:val="25"/>
                <w:szCs w:val="25"/>
              </w:rPr>
            </w:pPr>
          </w:p>
        </w:tc>
        <w:tc>
          <w:tcPr>
            <w:tcW w:w="1100" w:type="dxa"/>
          </w:tcPr>
          <w:p w14:paraId="15527238">
            <w:pPr>
              <w:widowControl/>
              <w:spacing w:line="360" w:lineRule="auto"/>
              <w:jc w:val="left"/>
              <w:rPr>
                <w:rFonts w:ascii="宋体"/>
                <w:sz w:val="25"/>
                <w:szCs w:val="25"/>
              </w:rPr>
            </w:pPr>
          </w:p>
        </w:tc>
        <w:tc>
          <w:tcPr>
            <w:tcW w:w="1600" w:type="dxa"/>
          </w:tcPr>
          <w:p w14:paraId="2193E709">
            <w:pPr>
              <w:widowControl/>
              <w:spacing w:line="360" w:lineRule="auto"/>
              <w:jc w:val="left"/>
              <w:rPr>
                <w:rFonts w:ascii="宋体"/>
                <w:sz w:val="25"/>
                <w:szCs w:val="25"/>
              </w:rPr>
            </w:pPr>
          </w:p>
        </w:tc>
      </w:tr>
      <w:tr w14:paraId="5C7E9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5EB30E4A">
            <w:pPr>
              <w:widowControl/>
              <w:spacing w:line="360" w:lineRule="auto"/>
              <w:jc w:val="left"/>
              <w:rPr>
                <w:rFonts w:ascii="宋体"/>
                <w:sz w:val="25"/>
                <w:szCs w:val="25"/>
              </w:rPr>
            </w:pPr>
          </w:p>
        </w:tc>
        <w:tc>
          <w:tcPr>
            <w:tcW w:w="1700" w:type="dxa"/>
          </w:tcPr>
          <w:p w14:paraId="787C82B2">
            <w:pPr>
              <w:widowControl/>
              <w:spacing w:line="360" w:lineRule="auto"/>
              <w:jc w:val="left"/>
              <w:rPr>
                <w:rFonts w:ascii="宋体"/>
                <w:sz w:val="25"/>
                <w:szCs w:val="25"/>
              </w:rPr>
            </w:pPr>
          </w:p>
        </w:tc>
        <w:tc>
          <w:tcPr>
            <w:tcW w:w="700" w:type="dxa"/>
          </w:tcPr>
          <w:p w14:paraId="300D22EA">
            <w:pPr>
              <w:widowControl/>
              <w:spacing w:line="360" w:lineRule="auto"/>
              <w:jc w:val="left"/>
              <w:rPr>
                <w:rFonts w:ascii="宋体"/>
                <w:sz w:val="25"/>
                <w:szCs w:val="25"/>
              </w:rPr>
            </w:pPr>
          </w:p>
        </w:tc>
        <w:tc>
          <w:tcPr>
            <w:tcW w:w="700" w:type="dxa"/>
          </w:tcPr>
          <w:p w14:paraId="1E014265">
            <w:pPr>
              <w:widowControl/>
              <w:spacing w:line="360" w:lineRule="auto"/>
              <w:jc w:val="left"/>
              <w:rPr>
                <w:rFonts w:ascii="宋体"/>
                <w:sz w:val="25"/>
                <w:szCs w:val="25"/>
              </w:rPr>
            </w:pPr>
          </w:p>
        </w:tc>
        <w:tc>
          <w:tcPr>
            <w:tcW w:w="900" w:type="dxa"/>
          </w:tcPr>
          <w:p w14:paraId="4B7E5356">
            <w:pPr>
              <w:widowControl/>
              <w:spacing w:line="360" w:lineRule="auto"/>
              <w:jc w:val="left"/>
              <w:rPr>
                <w:rFonts w:ascii="宋体"/>
                <w:sz w:val="25"/>
                <w:szCs w:val="25"/>
              </w:rPr>
            </w:pPr>
          </w:p>
        </w:tc>
        <w:tc>
          <w:tcPr>
            <w:tcW w:w="900" w:type="dxa"/>
          </w:tcPr>
          <w:p w14:paraId="3DE20FF5">
            <w:pPr>
              <w:widowControl/>
              <w:spacing w:line="360" w:lineRule="auto"/>
              <w:jc w:val="left"/>
              <w:rPr>
                <w:rFonts w:ascii="宋体"/>
                <w:sz w:val="25"/>
                <w:szCs w:val="25"/>
              </w:rPr>
            </w:pPr>
          </w:p>
        </w:tc>
        <w:tc>
          <w:tcPr>
            <w:tcW w:w="1100" w:type="dxa"/>
          </w:tcPr>
          <w:p w14:paraId="0E3B45C1">
            <w:pPr>
              <w:widowControl/>
              <w:spacing w:line="360" w:lineRule="auto"/>
              <w:jc w:val="left"/>
              <w:rPr>
                <w:rFonts w:ascii="宋体"/>
                <w:sz w:val="25"/>
                <w:szCs w:val="25"/>
              </w:rPr>
            </w:pPr>
          </w:p>
        </w:tc>
        <w:tc>
          <w:tcPr>
            <w:tcW w:w="1100" w:type="dxa"/>
          </w:tcPr>
          <w:p w14:paraId="7951D599">
            <w:pPr>
              <w:widowControl/>
              <w:spacing w:line="360" w:lineRule="auto"/>
              <w:jc w:val="left"/>
              <w:rPr>
                <w:rFonts w:ascii="宋体"/>
                <w:sz w:val="25"/>
                <w:szCs w:val="25"/>
              </w:rPr>
            </w:pPr>
          </w:p>
        </w:tc>
        <w:tc>
          <w:tcPr>
            <w:tcW w:w="1600" w:type="dxa"/>
          </w:tcPr>
          <w:p w14:paraId="338C0156">
            <w:pPr>
              <w:widowControl/>
              <w:spacing w:line="360" w:lineRule="auto"/>
              <w:jc w:val="left"/>
              <w:rPr>
                <w:rFonts w:ascii="宋体"/>
                <w:sz w:val="25"/>
                <w:szCs w:val="25"/>
              </w:rPr>
            </w:pPr>
          </w:p>
        </w:tc>
      </w:tr>
      <w:tr w14:paraId="7CB0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4E380ED9">
            <w:pPr>
              <w:widowControl/>
              <w:spacing w:line="360" w:lineRule="auto"/>
              <w:jc w:val="left"/>
              <w:rPr>
                <w:rFonts w:ascii="宋体"/>
                <w:sz w:val="25"/>
                <w:szCs w:val="25"/>
              </w:rPr>
            </w:pPr>
          </w:p>
        </w:tc>
        <w:tc>
          <w:tcPr>
            <w:tcW w:w="1700" w:type="dxa"/>
          </w:tcPr>
          <w:p w14:paraId="2B482D0F">
            <w:pPr>
              <w:widowControl/>
              <w:spacing w:line="360" w:lineRule="auto"/>
              <w:jc w:val="left"/>
              <w:rPr>
                <w:rFonts w:ascii="宋体"/>
                <w:sz w:val="25"/>
                <w:szCs w:val="25"/>
              </w:rPr>
            </w:pPr>
          </w:p>
        </w:tc>
        <w:tc>
          <w:tcPr>
            <w:tcW w:w="700" w:type="dxa"/>
          </w:tcPr>
          <w:p w14:paraId="20AEBAFC">
            <w:pPr>
              <w:widowControl/>
              <w:spacing w:line="360" w:lineRule="auto"/>
              <w:jc w:val="left"/>
              <w:rPr>
                <w:rFonts w:ascii="宋体"/>
                <w:sz w:val="25"/>
                <w:szCs w:val="25"/>
              </w:rPr>
            </w:pPr>
          </w:p>
        </w:tc>
        <w:tc>
          <w:tcPr>
            <w:tcW w:w="700" w:type="dxa"/>
          </w:tcPr>
          <w:p w14:paraId="00FE9695">
            <w:pPr>
              <w:widowControl/>
              <w:spacing w:line="360" w:lineRule="auto"/>
              <w:jc w:val="left"/>
              <w:rPr>
                <w:rFonts w:ascii="宋体"/>
                <w:sz w:val="25"/>
                <w:szCs w:val="25"/>
              </w:rPr>
            </w:pPr>
          </w:p>
        </w:tc>
        <w:tc>
          <w:tcPr>
            <w:tcW w:w="900" w:type="dxa"/>
          </w:tcPr>
          <w:p w14:paraId="35907530">
            <w:pPr>
              <w:widowControl/>
              <w:spacing w:line="360" w:lineRule="auto"/>
              <w:jc w:val="left"/>
              <w:rPr>
                <w:rFonts w:ascii="宋体"/>
                <w:sz w:val="25"/>
                <w:szCs w:val="25"/>
              </w:rPr>
            </w:pPr>
          </w:p>
        </w:tc>
        <w:tc>
          <w:tcPr>
            <w:tcW w:w="900" w:type="dxa"/>
          </w:tcPr>
          <w:p w14:paraId="603F4589">
            <w:pPr>
              <w:widowControl/>
              <w:spacing w:line="360" w:lineRule="auto"/>
              <w:jc w:val="left"/>
              <w:rPr>
                <w:rFonts w:ascii="宋体"/>
                <w:sz w:val="25"/>
                <w:szCs w:val="25"/>
              </w:rPr>
            </w:pPr>
          </w:p>
        </w:tc>
        <w:tc>
          <w:tcPr>
            <w:tcW w:w="1100" w:type="dxa"/>
          </w:tcPr>
          <w:p w14:paraId="6AE7FA62">
            <w:pPr>
              <w:widowControl/>
              <w:spacing w:line="360" w:lineRule="auto"/>
              <w:jc w:val="left"/>
              <w:rPr>
                <w:rFonts w:ascii="宋体"/>
                <w:sz w:val="25"/>
                <w:szCs w:val="25"/>
              </w:rPr>
            </w:pPr>
          </w:p>
        </w:tc>
        <w:tc>
          <w:tcPr>
            <w:tcW w:w="1100" w:type="dxa"/>
          </w:tcPr>
          <w:p w14:paraId="626C7232">
            <w:pPr>
              <w:widowControl/>
              <w:spacing w:line="360" w:lineRule="auto"/>
              <w:jc w:val="left"/>
              <w:rPr>
                <w:rFonts w:ascii="宋体"/>
                <w:sz w:val="25"/>
                <w:szCs w:val="25"/>
              </w:rPr>
            </w:pPr>
          </w:p>
        </w:tc>
        <w:tc>
          <w:tcPr>
            <w:tcW w:w="1600" w:type="dxa"/>
          </w:tcPr>
          <w:p w14:paraId="5F4DC95F">
            <w:pPr>
              <w:widowControl/>
              <w:spacing w:line="360" w:lineRule="auto"/>
              <w:jc w:val="left"/>
              <w:rPr>
                <w:rFonts w:ascii="宋体"/>
                <w:sz w:val="25"/>
                <w:szCs w:val="25"/>
              </w:rPr>
            </w:pPr>
          </w:p>
        </w:tc>
      </w:tr>
      <w:tr w14:paraId="01D83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B556BBC">
            <w:pPr>
              <w:widowControl/>
              <w:spacing w:line="360" w:lineRule="auto"/>
              <w:jc w:val="left"/>
              <w:rPr>
                <w:rFonts w:ascii="宋体"/>
                <w:sz w:val="25"/>
                <w:szCs w:val="25"/>
              </w:rPr>
            </w:pPr>
          </w:p>
        </w:tc>
        <w:tc>
          <w:tcPr>
            <w:tcW w:w="1700" w:type="dxa"/>
          </w:tcPr>
          <w:p w14:paraId="44EF549C">
            <w:pPr>
              <w:widowControl/>
              <w:spacing w:line="360" w:lineRule="auto"/>
              <w:jc w:val="left"/>
              <w:rPr>
                <w:rFonts w:ascii="宋体"/>
                <w:sz w:val="25"/>
                <w:szCs w:val="25"/>
              </w:rPr>
            </w:pPr>
          </w:p>
        </w:tc>
        <w:tc>
          <w:tcPr>
            <w:tcW w:w="700" w:type="dxa"/>
          </w:tcPr>
          <w:p w14:paraId="5B6E1041">
            <w:pPr>
              <w:widowControl/>
              <w:spacing w:line="360" w:lineRule="auto"/>
              <w:jc w:val="left"/>
              <w:rPr>
                <w:rFonts w:ascii="宋体"/>
                <w:sz w:val="25"/>
                <w:szCs w:val="25"/>
              </w:rPr>
            </w:pPr>
          </w:p>
        </w:tc>
        <w:tc>
          <w:tcPr>
            <w:tcW w:w="700" w:type="dxa"/>
          </w:tcPr>
          <w:p w14:paraId="15ED6E52">
            <w:pPr>
              <w:widowControl/>
              <w:spacing w:line="360" w:lineRule="auto"/>
              <w:jc w:val="left"/>
              <w:rPr>
                <w:rFonts w:ascii="宋体"/>
                <w:sz w:val="25"/>
                <w:szCs w:val="25"/>
              </w:rPr>
            </w:pPr>
          </w:p>
        </w:tc>
        <w:tc>
          <w:tcPr>
            <w:tcW w:w="900" w:type="dxa"/>
          </w:tcPr>
          <w:p w14:paraId="668643F1">
            <w:pPr>
              <w:widowControl/>
              <w:spacing w:line="360" w:lineRule="auto"/>
              <w:jc w:val="left"/>
              <w:rPr>
                <w:rFonts w:ascii="宋体"/>
                <w:sz w:val="25"/>
                <w:szCs w:val="25"/>
              </w:rPr>
            </w:pPr>
          </w:p>
        </w:tc>
        <w:tc>
          <w:tcPr>
            <w:tcW w:w="900" w:type="dxa"/>
          </w:tcPr>
          <w:p w14:paraId="5130B15C">
            <w:pPr>
              <w:widowControl/>
              <w:spacing w:line="360" w:lineRule="auto"/>
              <w:jc w:val="left"/>
              <w:rPr>
                <w:rFonts w:ascii="宋体"/>
                <w:sz w:val="25"/>
                <w:szCs w:val="25"/>
              </w:rPr>
            </w:pPr>
          </w:p>
        </w:tc>
        <w:tc>
          <w:tcPr>
            <w:tcW w:w="1100" w:type="dxa"/>
          </w:tcPr>
          <w:p w14:paraId="297CB0EE">
            <w:pPr>
              <w:widowControl/>
              <w:spacing w:line="360" w:lineRule="auto"/>
              <w:jc w:val="left"/>
              <w:rPr>
                <w:rFonts w:ascii="宋体"/>
                <w:sz w:val="25"/>
                <w:szCs w:val="25"/>
              </w:rPr>
            </w:pPr>
          </w:p>
        </w:tc>
        <w:tc>
          <w:tcPr>
            <w:tcW w:w="1100" w:type="dxa"/>
          </w:tcPr>
          <w:p w14:paraId="1750417B">
            <w:pPr>
              <w:widowControl/>
              <w:spacing w:line="360" w:lineRule="auto"/>
              <w:jc w:val="left"/>
              <w:rPr>
                <w:rFonts w:ascii="宋体"/>
                <w:sz w:val="25"/>
                <w:szCs w:val="25"/>
              </w:rPr>
            </w:pPr>
          </w:p>
        </w:tc>
        <w:tc>
          <w:tcPr>
            <w:tcW w:w="1600" w:type="dxa"/>
          </w:tcPr>
          <w:p w14:paraId="22C0787A">
            <w:pPr>
              <w:widowControl/>
              <w:spacing w:line="360" w:lineRule="auto"/>
              <w:jc w:val="left"/>
              <w:rPr>
                <w:rFonts w:ascii="宋体"/>
                <w:sz w:val="25"/>
                <w:szCs w:val="25"/>
              </w:rPr>
            </w:pPr>
          </w:p>
        </w:tc>
      </w:tr>
      <w:tr w14:paraId="3A4B5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018917D">
            <w:pPr>
              <w:widowControl/>
              <w:spacing w:line="360" w:lineRule="auto"/>
              <w:jc w:val="left"/>
              <w:rPr>
                <w:rFonts w:ascii="宋体"/>
                <w:sz w:val="25"/>
                <w:szCs w:val="25"/>
              </w:rPr>
            </w:pPr>
          </w:p>
        </w:tc>
        <w:tc>
          <w:tcPr>
            <w:tcW w:w="1700" w:type="dxa"/>
          </w:tcPr>
          <w:p w14:paraId="57FAD6A0">
            <w:pPr>
              <w:widowControl/>
              <w:spacing w:line="360" w:lineRule="auto"/>
              <w:jc w:val="left"/>
              <w:rPr>
                <w:rFonts w:ascii="宋体"/>
                <w:sz w:val="25"/>
                <w:szCs w:val="25"/>
              </w:rPr>
            </w:pPr>
          </w:p>
        </w:tc>
        <w:tc>
          <w:tcPr>
            <w:tcW w:w="700" w:type="dxa"/>
          </w:tcPr>
          <w:p w14:paraId="22A3FC6D">
            <w:pPr>
              <w:widowControl/>
              <w:spacing w:line="360" w:lineRule="auto"/>
              <w:jc w:val="left"/>
              <w:rPr>
                <w:rFonts w:ascii="宋体"/>
                <w:sz w:val="25"/>
                <w:szCs w:val="25"/>
              </w:rPr>
            </w:pPr>
          </w:p>
        </w:tc>
        <w:tc>
          <w:tcPr>
            <w:tcW w:w="700" w:type="dxa"/>
          </w:tcPr>
          <w:p w14:paraId="22CE9902">
            <w:pPr>
              <w:widowControl/>
              <w:spacing w:line="360" w:lineRule="auto"/>
              <w:jc w:val="left"/>
              <w:rPr>
                <w:rFonts w:ascii="宋体"/>
                <w:sz w:val="25"/>
                <w:szCs w:val="25"/>
              </w:rPr>
            </w:pPr>
          </w:p>
        </w:tc>
        <w:tc>
          <w:tcPr>
            <w:tcW w:w="900" w:type="dxa"/>
          </w:tcPr>
          <w:p w14:paraId="0E72D091">
            <w:pPr>
              <w:widowControl/>
              <w:spacing w:line="360" w:lineRule="auto"/>
              <w:jc w:val="left"/>
              <w:rPr>
                <w:rFonts w:ascii="宋体"/>
                <w:sz w:val="25"/>
                <w:szCs w:val="25"/>
              </w:rPr>
            </w:pPr>
          </w:p>
        </w:tc>
        <w:tc>
          <w:tcPr>
            <w:tcW w:w="900" w:type="dxa"/>
          </w:tcPr>
          <w:p w14:paraId="014AB766">
            <w:pPr>
              <w:widowControl/>
              <w:spacing w:line="360" w:lineRule="auto"/>
              <w:jc w:val="left"/>
              <w:rPr>
                <w:rFonts w:ascii="宋体"/>
                <w:sz w:val="25"/>
                <w:szCs w:val="25"/>
              </w:rPr>
            </w:pPr>
          </w:p>
        </w:tc>
        <w:tc>
          <w:tcPr>
            <w:tcW w:w="1100" w:type="dxa"/>
          </w:tcPr>
          <w:p w14:paraId="22F22C77">
            <w:pPr>
              <w:widowControl/>
              <w:spacing w:line="360" w:lineRule="auto"/>
              <w:jc w:val="left"/>
              <w:rPr>
                <w:rFonts w:ascii="宋体"/>
                <w:sz w:val="25"/>
                <w:szCs w:val="25"/>
              </w:rPr>
            </w:pPr>
          </w:p>
        </w:tc>
        <w:tc>
          <w:tcPr>
            <w:tcW w:w="1100" w:type="dxa"/>
          </w:tcPr>
          <w:p w14:paraId="6EC8DD81">
            <w:pPr>
              <w:widowControl/>
              <w:spacing w:line="360" w:lineRule="auto"/>
              <w:jc w:val="left"/>
              <w:rPr>
                <w:rFonts w:ascii="宋体"/>
                <w:sz w:val="25"/>
                <w:szCs w:val="25"/>
              </w:rPr>
            </w:pPr>
          </w:p>
        </w:tc>
        <w:tc>
          <w:tcPr>
            <w:tcW w:w="1600" w:type="dxa"/>
          </w:tcPr>
          <w:p w14:paraId="4F7F9B9C">
            <w:pPr>
              <w:widowControl/>
              <w:spacing w:line="360" w:lineRule="auto"/>
              <w:jc w:val="left"/>
              <w:rPr>
                <w:rFonts w:ascii="宋体"/>
                <w:sz w:val="25"/>
                <w:szCs w:val="25"/>
              </w:rPr>
            </w:pPr>
          </w:p>
        </w:tc>
      </w:tr>
      <w:tr w14:paraId="3282E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16E3A53E">
            <w:pPr>
              <w:widowControl/>
              <w:spacing w:line="360" w:lineRule="auto"/>
              <w:jc w:val="left"/>
              <w:rPr>
                <w:rFonts w:ascii="宋体"/>
                <w:sz w:val="25"/>
                <w:szCs w:val="25"/>
              </w:rPr>
            </w:pPr>
          </w:p>
        </w:tc>
        <w:tc>
          <w:tcPr>
            <w:tcW w:w="1700" w:type="dxa"/>
          </w:tcPr>
          <w:p w14:paraId="54760945">
            <w:pPr>
              <w:widowControl/>
              <w:spacing w:line="360" w:lineRule="auto"/>
              <w:jc w:val="left"/>
              <w:rPr>
                <w:rFonts w:ascii="宋体"/>
                <w:sz w:val="25"/>
                <w:szCs w:val="25"/>
              </w:rPr>
            </w:pPr>
          </w:p>
        </w:tc>
        <w:tc>
          <w:tcPr>
            <w:tcW w:w="700" w:type="dxa"/>
          </w:tcPr>
          <w:p w14:paraId="01D3B145">
            <w:pPr>
              <w:widowControl/>
              <w:spacing w:line="360" w:lineRule="auto"/>
              <w:jc w:val="left"/>
              <w:rPr>
                <w:rFonts w:ascii="宋体"/>
                <w:sz w:val="25"/>
                <w:szCs w:val="25"/>
              </w:rPr>
            </w:pPr>
          </w:p>
        </w:tc>
        <w:tc>
          <w:tcPr>
            <w:tcW w:w="700" w:type="dxa"/>
          </w:tcPr>
          <w:p w14:paraId="551F851F">
            <w:pPr>
              <w:widowControl/>
              <w:spacing w:line="360" w:lineRule="auto"/>
              <w:jc w:val="left"/>
              <w:rPr>
                <w:rFonts w:ascii="宋体"/>
                <w:sz w:val="25"/>
                <w:szCs w:val="25"/>
              </w:rPr>
            </w:pPr>
          </w:p>
        </w:tc>
        <w:tc>
          <w:tcPr>
            <w:tcW w:w="900" w:type="dxa"/>
          </w:tcPr>
          <w:p w14:paraId="0F23D6E7">
            <w:pPr>
              <w:widowControl/>
              <w:spacing w:line="360" w:lineRule="auto"/>
              <w:jc w:val="left"/>
              <w:rPr>
                <w:rFonts w:ascii="宋体"/>
                <w:sz w:val="25"/>
                <w:szCs w:val="25"/>
              </w:rPr>
            </w:pPr>
          </w:p>
        </w:tc>
        <w:tc>
          <w:tcPr>
            <w:tcW w:w="900" w:type="dxa"/>
          </w:tcPr>
          <w:p w14:paraId="462C1C9D">
            <w:pPr>
              <w:widowControl/>
              <w:spacing w:line="360" w:lineRule="auto"/>
              <w:jc w:val="left"/>
              <w:rPr>
                <w:rFonts w:ascii="宋体"/>
                <w:sz w:val="25"/>
                <w:szCs w:val="25"/>
              </w:rPr>
            </w:pPr>
          </w:p>
        </w:tc>
        <w:tc>
          <w:tcPr>
            <w:tcW w:w="1100" w:type="dxa"/>
          </w:tcPr>
          <w:p w14:paraId="6A094079">
            <w:pPr>
              <w:widowControl/>
              <w:spacing w:line="360" w:lineRule="auto"/>
              <w:jc w:val="left"/>
              <w:rPr>
                <w:rFonts w:ascii="宋体"/>
                <w:sz w:val="25"/>
                <w:szCs w:val="25"/>
              </w:rPr>
            </w:pPr>
          </w:p>
        </w:tc>
        <w:tc>
          <w:tcPr>
            <w:tcW w:w="1100" w:type="dxa"/>
          </w:tcPr>
          <w:p w14:paraId="49DD35F6">
            <w:pPr>
              <w:widowControl/>
              <w:spacing w:line="360" w:lineRule="auto"/>
              <w:jc w:val="left"/>
              <w:rPr>
                <w:rFonts w:ascii="宋体"/>
                <w:sz w:val="25"/>
                <w:szCs w:val="25"/>
              </w:rPr>
            </w:pPr>
          </w:p>
        </w:tc>
        <w:tc>
          <w:tcPr>
            <w:tcW w:w="1600" w:type="dxa"/>
          </w:tcPr>
          <w:p w14:paraId="56206762">
            <w:pPr>
              <w:widowControl/>
              <w:spacing w:line="360" w:lineRule="auto"/>
              <w:jc w:val="left"/>
              <w:rPr>
                <w:rFonts w:ascii="宋体"/>
                <w:sz w:val="25"/>
                <w:szCs w:val="25"/>
              </w:rPr>
            </w:pPr>
          </w:p>
        </w:tc>
      </w:tr>
      <w:tr w14:paraId="2EA51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2817EFDB">
            <w:pPr>
              <w:widowControl/>
              <w:spacing w:line="360" w:lineRule="auto"/>
              <w:jc w:val="left"/>
              <w:rPr>
                <w:rFonts w:ascii="宋体"/>
                <w:sz w:val="25"/>
                <w:szCs w:val="25"/>
              </w:rPr>
            </w:pPr>
          </w:p>
        </w:tc>
        <w:tc>
          <w:tcPr>
            <w:tcW w:w="1700" w:type="dxa"/>
          </w:tcPr>
          <w:p w14:paraId="09269F9C">
            <w:pPr>
              <w:widowControl/>
              <w:spacing w:line="360" w:lineRule="auto"/>
              <w:jc w:val="left"/>
              <w:rPr>
                <w:rFonts w:ascii="宋体"/>
                <w:sz w:val="25"/>
                <w:szCs w:val="25"/>
              </w:rPr>
            </w:pPr>
          </w:p>
        </w:tc>
        <w:tc>
          <w:tcPr>
            <w:tcW w:w="700" w:type="dxa"/>
          </w:tcPr>
          <w:p w14:paraId="38938305">
            <w:pPr>
              <w:widowControl/>
              <w:spacing w:line="360" w:lineRule="auto"/>
              <w:jc w:val="left"/>
              <w:rPr>
                <w:rFonts w:ascii="宋体"/>
                <w:sz w:val="25"/>
                <w:szCs w:val="25"/>
              </w:rPr>
            </w:pPr>
          </w:p>
        </w:tc>
        <w:tc>
          <w:tcPr>
            <w:tcW w:w="700" w:type="dxa"/>
          </w:tcPr>
          <w:p w14:paraId="3AF26206">
            <w:pPr>
              <w:widowControl/>
              <w:spacing w:line="360" w:lineRule="auto"/>
              <w:jc w:val="left"/>
              <w:rPr>
                <w:rFonts w:ascii="宋体"/>
                <w:sz w:val="25"/>
                <w:szCs w:val="25"/>
              </w:rPr>
            </w:pPr>
          </w:p>
        </w:tc>
        <w:tc>
          <w:tcPr>
            <w:tcW w:w="900" w:type="dxa"/>
          </w:tcPr>
          <w:p w14:paraId="1790EA21">
            <w:pPr>
              <w:widowControl/>
              <w:spacing w:line="360" w:lineRule="auto"/>
              <w:jc w:val="left"/>
              <w:rPr>
                <w:rFonts w:ascii="宋体"/>
                <w:sz w:val="25"/>
                <w:szCs w:val="25"/>
              </w:rPr>
            </w:pPr>
          </w:p>
        </w:tc>
        <w:tc>
          <w:tcPr>
            <w:tcW w:w="900" w:type="dxa"/>
          </w:tcPr>
          <w:p w14:paraId="5C17DE4A">
            <w:pPr>
              <w:widowControl/>
              <w:spacing w:line="360" w:lineRule="auto"/>
              <w:jc w:val="left"/>
              <w:rPr>
                <w:rFonts w:ascii="宋体"/>
                <w:sz w:val="25"/>
                <w:szCs w:val="25"/>
              </w:rPr>
            </w:pPr>
          </w:p>
        </w:tc>
        <w:tc>
          <w:tcPr>
            <w:tcW w:w="1100" w:type="dxa"/>
          </w:tcPr>
          <w:p w14:paraId="53335C9C">
            <w:pPr>
              <w:widowControl/>
              <w:spacing w:line="360" w:lineRule="auto"/>
              <w:jc w:val="left"/>
              <w:rPr>
                <w:rFonts w:ascii="宋体"/>
                <w:sz w:val="25"/>
                <w:szCs w:val="25"/>
              </w:rPr>
            </w:pPr>
          </w:p>
        </w:tc>
        <w:tc>
          <w:tcPr>
            <w:tcW w:w="1100" w:type="dxa"/>
          </w:tcPr>
          <w:p w14:paraId="3104F03C">
            <w:pPr>
              <w:widowControl/>
              <w:spacing w:line="360" w:lineRule="auto"/>
              <w:jc w:val="left"/>
              <w:rPr>
                <w:rFonts w:ascii="宋体"/>
                <w:sz w:val="25"/>
                <w:szCs w:val="25"/>
              </w:rPr>
            </w:pPr>
          </w:p>
        </w:tc>
        <w:tc>
          <w:tcPr>
            <w:tcW w:w="1600" w:type="dxa"/>
          </w:tcPr>
          <w:p w14:paraId="1FD654BE">
            <w:pPr>
              <w:widowControl/>
              <w:spacing w:line="360" w:lineRule="auto"/>
              <w:jc w:val="left"/>
              <w:rPr>
                <w:rFonts w:ascii="宋体"/>
                <w:sz w:val="25"/>
                <w:szCs w:val="25"/>
              </w:rPr>
            </w:pPr>
          </w:p>
        </w:tc>
      </w:tr>
      <w:tr w14:paraId="69B04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3695C9FB">
            <w:pPr>
              <w:widowControl/>
              <w:spacing w:line="360" w:lineRule="auto"/>
              <w:jc w:val="left"/>
              <w:rPr>
                <w:rFonts w:ascii="宋体"/>
                <w:sz w:val="25"/>
                <w:szCs w:val="25"/>
              </w:rPr>
            </w:pPr>
          </w:p>
        </w:tc>
        <w:tc>
          <w:tcPr>
            <w:tcW w:w="1700" w:type="dxa"/>
          </w:tcPr>
          <w:p w14:paraId="687337AE">
            <w:pPr>
              <w:widowControl/>
              <w:spacing w:line="360" w:lineRule="auto"/>
              <w:jc w:val="left"/>
              <w:rPr>
                <w:rFonts w:ascii="宋体"/>
                <w:sz w:val="25"/>
                <w:szCs w:val="25"/>
              </w:rPr>
            </w:pPr>
          </w:p>
        </w:tc>
        <w:tc>
          <w:tcPr>
            <w:tcW w:w="700" w:type="dxa"/>
          </w:tcPr>
          <w:p w14:paraId="0B28F222">
            <w:pPr>
              <w:widowControl/>
              <w:spacing w:line="360" w:lineRule="auto"/>
              <w:jc w:val="left"/>
              <w:rPr>
                <w:rFonts w:ascii="宋体"/>
                <w:sz w:val="25"/>
                <w:szCs w:val="25"/>
              </w:rPr>
            </w:pPr>
          </w:p>
        </w:tc>
        <w:tc>
          <w:tcPr>
            <w:tcW w:w="700" w:type="dxa"/>
          </w:tcPr>
          <w:p w14:paraId="2BBD341B">
            <w:pPr>
              <w:widowControl/>
              <w:spacing w:line="360" w:lineRule="auto"/>
              <w:jc w:val="left"/>
              <w:rPr>
                <w:rFonts w:ascii="宋体"/>
                <w:sz w:val="25"/>
                <w:szCs w:val="25"/>
              </w:rPr>
            </w:pPr>
          </w:p>
        </w:tc>
        <w:tc>
          <w:tcPr>
            <w:tcW w:w="900" w:type="dxa"/>
          </w:tcPr>
          <w:p w14:paraId="1152DF85">
            <w:pPr>
              <w:widowControl/>
              <w:spacing w:line="360" w:lineRule="auto"/>
              <w:jc w:val="left"/>
              <w:rPr>
                <w:rFonts w:ascii="宋体"/>
                <w:sz w:val="25"/>
                <w:szCs w:val="25"/>
              </w:rPr>
            </w:pPr>
          </w:p>
        </w:tc>
        <w:tc>
          <w:tcPr>
            <w:tcW w:w="900" w:type="dxa"/>
          </w:tcPr>
          <w:p w14:paraId="6476831E">
            <w:pPr>
              <w:widowControl/>
              <w:spacing w:line="360" w:lineRule="auto"/>
              <w:jc w:val="left"/>
              <w:rPr>
                <w:rFonts w:ascii="宋体"/>
                <w:sz w:val="25"/>
                <w:szCs w:val="25"/>
              </w:rPr>
            </w:pPr>
          </w:p>
        </w:tc>
        <w:tc>
          <w:tcPr>
            <w:tcW w:w="1100" w:type="dxa"/>
          </w:tcPr>
          <w:p w14:paraId="140DA006">
            <w:pPr>
              <w:widowControl/>
              <w:spacing w:line="360" w:lineRule="auto"/>
              <w:jc w:val="left"/>
              <w:rPr>
                <w:rFonts w:ascii="宋体"/>
                <w:sz w:val="25"/>
                <w:szCs w:val="25"/>
              </w:rPr>
            </w:pPr>
          </w:p>
        </w:tc>
        <w:tc>
          <w:tcPr>
            <w:tcW w:w="1100" w:type="dxa"/>
          </w:tcPr>
          <w:p w14:paraId="5463AF43">
            <w:pPr>
              <w:widowControl/>
              <w:spacing w:line="360" w:lineRule="auto"/>
              <w:jc w:val="left"/>
              <w:rPr>
                <w:rFonts w:ascii="宋体"/>
                <w:sz w:val="25"/>
                <w:szCs w:val="25"/>
              </w:rPr>
            </w:pPr>
          </w:p>
        </w:tc>
        <w:tc>
          <w:tcPr>
            <w:tcW w:w="1600" w:type="dxa"/>
          </w:tcPr>
          <w:p w14:paraId="0AEA98D0">
            <w:pPr>
              <w:widowControl/>
              <w:spacing w:line="360" w:lineRule="auto"/>
              <w:jc w:val="left"/>
              <w:rPr>
                <w:rFonts w:ascii="宋体"/>
                <w:sz w:val="25"/>
                <w:szCs w:val="25"/>
              </w:rPr>
            </w:pPr>
          </w:p>
        </w:tc>
      </w:tr>
      <w:tr w14:paraId="4B2AE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132014D8">
            <w:pPr>
              <w:widowControl/>
              <w:spacing w:line="360" w:lineRule="auto"/>
              <w:jc w:val="left"/>
              <w:rPr>
                <w:rFonts w:ascii="宋体"/>
                <w:sz w:val="25"/>
                <w:szCs w:val="25"/>
              </w:rPr>
            </w:pPr>
          </w:p>
        </w:tc>
        <w:tc>
          <w:tcPr>
            <w:tcW w:w="1700" w:type="dxa"/>
          </w:tcPr>
          <w:p w14:paraId="09AA2B19">
            <w:pPr>
              <w:widowControl/>
              <w:spacing w:line="360" w:lineRule="auto"/>
              <w:jc w:val="left"/>
              <w:rPr>
                <w:rFonts w:ascii="宋体"/>
                <w:sz w:val="25"/>
                <w:szCs w:val="25"/>
              </w:rPr>
            </w:pPr>
          </w:p>
        </w:tc>
        <w:tc>
          <w:tcPr>
            <w:tcW w:w="700" w:type="dxa"/>
          </w:tcPr>
          <w:p w14:paraId="483B9298">
            <w:pPr>
              <w:widowControl/>
              <w:spacing w:line="360" w:lineRule="auto"/>
              <w:jc w:val="left"/>
              <w:rPr>
                <w:rFonts w:ascii="宋体"/>
                <w:sz w:val="25"/>
                <w:szCs w:val="25"/>
              </w:rPr>
            </w:pPr>
          </w:p>
        </w:tc>
        <w:tc>
          <w:tcPr>
            <w:tcW w:w="700" w:type="dxa"/>
          </w:tcPr>
          <w:p w14:paraId="1A93301F">
            <w:pPr>
              <w:widowControl/>
              <w:spacing w:line="360" w:lineRule="auto"/>
              <w:jc w:val="left"/>
              <w:rPr>
                <w:rFonts w:ascii="宋体"/>
                <w:sz w:val="25"/>
                <w:szCs w:val="25"/>
              </w:rPr>
            </w:pPr>
          </w:p>
        </w:tc>
        <w:tc>
          <w:tcPr>
            <w:tcW w:w="900" w:type="dxa"/>
          </w:tcPr>
          <w:p w14:paraId="600B849B">
            <w:pPr>
              <w:widowControl/>
              <w:spacing w:line="360" w:lineRule="auto"/>
              <w:jc w:val="left"/>
              <w:rPr>
                <w:rFonts w:ascii="宋体"/>
                <w:sz w:val="25"/>
                <w:szCs w:val="25"/>
              </w:rPr>
            </w:pPr>
          </w:p>
        </w:tc>
        <w:tc>
          <w:tcPr>
            <w:tcW w:w="900" w:type="dxa"/>
          </w:tcPr>
          <w:p w14:paraId="2E4FF759">
            <w:pPr>
              <w:widowControl/>
              <w:spacing w:line="360" w:lineRule="auto"/>
              <w:jc w:val="left"/>
              <w:rPr>
                <w:rFonts w:ascii="宋体"/>
                <w:sz w:val="25"/>
                <w:szCs w:val="25"/>
              </w:rPr>
            </w:pPr>
          </w:p>
        </w:tc>
        <w:tc>
          <w:tcPr>
            <w:tcW w:w="1100" w:type="dxa"/>
          </w:tcPr>
          <w:p w14:paraId="40991DA6">
            <w:pPr>
              <w:widowControl/>
              <w:spacing w:line="360" w:lineRule="auto"/>
              <w:jc w:val="left"/>
              <w:rPr>
                <w:rFonts w:ascii="宋体"/>
                <w:sz w:val="25"/>
                <w:szCs w:val="25"/>
              </w:rPr>
            </w:pPr>
          </w:p>
        </w:tc>
        <w:tc>
          <w:tcPr>
            <w:tcW w:w="1100" w:type="dxa"/>
          </w:tcPr>
          <w:p w14:paraId="75287DF3">
            <w:pPr>
              <w:widowControl/>
              <w:spacing w:line="360" w:lineRule="auto"/>
              <w:jc w:val="left"/>
              <w:rPr>
                <w:rFonts w:ascii="宋体"/>
                <w:sz w:val="25"/>
                <w:szCs w:val="25"/>
              </w:rPr>
            </w:pPr>
          </w:p>
        </w:tc>
        <w:tc>
          <w:tcPr>
            <w:tcW w:w="1600" w:type="dxa"/>
          </w:tcPr>
          <w:p w14:paraId="0E12E4BD">
            <w:pPr>
              <w:widowControl/>
              <w:spacing w:line="360" w:lineRule="auto"/>
              <w:jc w:val="left"/>
              <w:rPr>
                <w:rFonts w:ascii="宋体"/>
                <w:sz w:val="25"/>
                <w:szCs w:val="25"/>
              </w:rPr>
            </w:pPr>
          </w:p>
        </w:tc>
      </w:tr>
      <w:tr w14:paraId="58101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8201D16">
            <w:pPr>
              <w:widowControl/>
              <w:spacing w:line="360" w:lineRule="auto"/>
              <w:jc w:val="left"/>
              <w:rPr>
                <w:rFonts w:ascii="宋体"/>
                <w:sz w:val="25"/>
                <w:szCs w:val="25"/>
              </w:rPr>
            </w:pPr>
          </w:p>
        </w:tc>
        <w:tc>
          <w:tcPr>
            <w:tcW w:w="1700" w:type="dxa"/>
          </w:tcPr>
          <w:p w14:paraId="17966544">
            <w:pPr>
              <w:widowControl/>
              <w:spacing w:line="360" w:lineRule="auto"/>
              <w:jc w:val="left"/>
              <w:rPr>
                <w:rFonts w:ascii="宋体"/>
                <w:sz w:val="25"/>
                <w:szCs w:val="25"/>
              </w:rPr>
            </w:pPr>
          </w:p>
        </w:tc>
        <w:tc>
          <w:tcPr>
            <w:tcW w:w="700" w:type="dxa"/>
          </w:tcPr>
          <w:p w14:paraId="563D884D">
            <w:pPr>
              <w:widowControl/>
              <w:spacing w:line="360" w:lineRule="auto"/>
              <w:jc w:val="left"/>
              <w:rPr>
                <w:rFonts w:ascii="宋体"/>
                <w:sz w:val="25"/>
                <w:szCs w:val="25"/>
              </w:rPr>
            </w:pPr>
          </w:p>
        </w:tc>
        <w:tc>
          <w:tcPr>
            <w:tcW w:w="700" w:type="dxa"/>
          </w:tcPr>
          <w:p w14:paraId="6B6B6020">
            <w:pPr>
              <w:widowControl/>
              <w:spacing w:line="360" w:lineRule="auto"/>
              <w:jc w:val="left"/>
              <w:rPr>
                <w:rFonts w:ascii="宋体"/>
                <w:sz w:val="25"/>
                <w:szCs w:val="25"/>
              </w:rPr>
            </w:pPr>
          </w:p>
        </w:tc>
        <w:tc>
          <w:tcPr>
            <w:tcW w:w="900" w:type="dxa"/>
          </w:tcPr>
          <w:p w14:paraId="1282161F">
            <w:pPr>
              <w:widowControl/>
              <w:spacing w:line="360" w:lineRule="auto"/>
              <w:jc w:val="left"/>
              <w:rPr>
                <w:rFonts w:ascii="宋体"/>
                <w:sz w:val="25"/>
                <w:szCs w:val="25"/>
              </w:rPr>
            </w:pPr>
          </w:p>
        </w:tc>
        <w:tc>
          <w:tcPr>
            <w:tcW w:w="900" w:type="dxa"/>
          </w:tcPr>
          <w:p w14:paraId="59919CC0">
            <w:pPr>
              <w:widowControl/>
              <w:spacing w:line="360" w:lineRule="auto"/>
              <w:jc w:val="left"/>
              <w:rPr>
                <w:rFonts w:ascii="宋体"/>
                <w:sz w:val="25"/>
                <w:szCs w:val="25"/>
              </w:rPr>
            </w:pPr>
          </w:p>
        </w:tc>
        <w:tc>
          <w:tcPr>
            <w:tcW w:w="1100" w:type="dxa"/>
          </w:tcPr>
          <w:p w14:paraId="326E6D9D">
            <w:pPr>
              <w:widowControl/>
              <w:spacing w:line="360" w:lineRule="auto"/>
              <w:jc w:val="left"/>
              <w:rPr>
                <w:rFonts w:ascii="宋体"/>
                <w:sz w:val="25"/>
                <w:szCs w:val="25"/>
              </w:rPr>
            </w:pPr>
          </w:p>
        </w:tc>
        <w:tc>
          <w:tcPr>
            <w:tcW w:w="1100" w:type="dxa"/>
          </w:tcPr>
          <w:p w14:paraId="60FBB5CD">
            <w:pPr>
              <w:widowControl/>
              <w:spacing w:line="360" w:lineRule="auto"/>
              <w:jc w:val="left"/>
              <w:rPr>
                <w:rFonts w:ascii="宋体"/>
                <w:sz w:val="25"/>
                <w:szCs w:val="25"/>
              </w:rPr>
            </w:pPr>
          </w:p>
        </w:tc>
        <w:tc>
          <w:tcPr>
            <w:tcW w:w="1600" w:type="dxa"/>
          </w:tcPr>
          <w:p w14:paraId="7EE5B961">
            <w:pPr>
              <w:widowControl/>
              <w:spacing w:line="360" w:lineRule="auto"/>
              <w:jc w:val="left"/>
              <w:rPr>
                <w:rFonts w:ascii="宋体"/>
                <w:sz w:val="25"/>
                <w:szCs w:val="25"/>
              </w:rPr>
            </w:pPr>
          </w:p>
        </w:tc>
      </w:tr>
    </w:tbl>
    <w:p w14:paraId="101820A9"/>
    <w:p w14:paraId="69362946">
      <w:pPr>
        <w:adjustRightInd w:val="0"/>
        <w:spacing w:after="284" w:line="420" w:lineRule="atLeast"/>
        <w:jc w:val="center"/>
        <w:rPr>
          <w:rFonts w:ascii="宋体"/>
          <w:b/>
          <w:bCs/>
          <w:kern w:val="0"/>
          <w:sz w:val="32"/>
          <w:szCs w:val="32"/>
        </w:rPr>
      </w:pPr>
    </w:p>
    <w:p w14:paraId="31BEFB99">
      <w:pPr>
        <w:adjustRightInd w:val="0"/>
        <w:spacing w:after="284" w:line="420" w:lineRule="atLeast"/>
        <w:jc w:val="center"/>
        <w:rPr>
          <w:rFonts w:ascii="宋体"/>
          <w:b/>
          <w:bCs/>
          <w:kern w:val="0"/>
          <w:sz w:val="32"/>
          <w:szCs w:val="32"/>
        </w:rPr>
      </w:pPr>
    </w:p>
    <w:p w14:paraId="09168557">
      <w:pPr>
        <w:adjustRightInd w:val="0"/>
        <w:spacing w:after="284" w:line="420" w:lineRule="atLeast"/>
        <w:jc w:val="center"/>
        <w:rPr>
          <w:rFonts w:ascii="宋体"/>
          <w:b/>
          <w:bCs/>
          <w:kern w:val="0"/>
          <w:sz w:val="32"/>
          <w:szCs w:val="32"/>
        </w:rPr>
      </w:pPr>
    </w:p>
    <w:p w14:paraId="0018CE0E">
      <w:pPr>
        <w:adjustRightInd w:val="0"/>
        <w:spacing w:after="284" w:line="420" w:lineRule="atLeast"/>
        <w:jc w:val="center"/>
        <w:rPr>
          <w:rFonts w:ascii="宋体"/>
          <w:b/>
          <w:bCs/>
          <w:kern w:val="0"/>
          <w:sz w:val="32"/>
          <w:szCs w:val="32"/>
        </w:rPr>
      </w:pPr>
      <w:r>
        <w:rPr>
          <w:rFonts w:hint="eastAsia" w:ascii="宋体" w:hAnsi="宋体" w:cs="宋体"/>
          <w:b/>
          <w:bCs/>
          <w:kern w:val="0"/>
          <w:sz w:val="32"/>
          <w:szCs w:val="32"/>
        </w:rPr>
        <w:t>主要施工管理人员表</w:t>
      </w:r>
    </w:p>
    <w:tbl>
      <w:tblPr>
        <w:tblStyle w:val="51"/>
        <w:tblW w:w="88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804"/>
        <w:gridCol w:w="849"/>
        <w:gridCol w:w="849"/>
        <w:gridCol w:w="849"/>
        <w:gridCol w:w="3808"/>
      </w:tblGrid>
      <w:tr w14:paraId="5BED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89" w:type="dxa"/>
            <w:tcBorders>
              <w:top w:val="single" w:color="auto" w:sz="12" w:space="0"/>
              <w:left w:val="single" w:color="auto" w:sz="12" w:space="0"/>
              <w:bottom w:val="double" w:color="auto" w:sz="4" w:space="0"/>
            </w:tcBorders>
            <w:vAlign w:val="center"/>
          </w:tcPr>
          <w:p w14:paraId="4104A23F">
            <w:pPr>
              <w:jc w:val="center"/>
              <w:rPr>
                <w:rFonts w:ascii="宋体"/>
                <w:sz w:val="24"/>
                <w:szCs w:val="24"/>
              </w:rPr>
            </w:pPr>
            <w:r>
              <w:rPr>
                <w:rFonts w:hint="eastAsia" w:ascii="宋体" w:hAnsi="宋体" w:cs="宋体"/>
                <w:sz w:val="24"/>
                <w:szCs w:val="24"/>
              </w:rPr>
              <w:t>机构</w:t>
            </w:r>
          </w:p>
        </w:tc>
        <w:tc>
          <w:tcPr>
            <w:tcW w:w="1804" w:type="dxa"/>
            <w:tcBorders>
              <w:top w:val="single" w:color="auto" w:sz="12" w:space="0"/>
              <w:bottom w:val="double" w:color="auto" w:sz="4" w:space="0"/>
            </w:tcBorders>
            <w:vAlign w:val="center"/>
          </w:tcPr>
          <w:p w14:paraId="0B7C4391">
            <w:pPr>
              <w:jc w:val="center"/>
              <w:rPr>
                <w:rFonts w:ascii="宋体"/>
                <w:sz w:val="24"/>
                <w:szCs w:val="24"/>
              </w:rPr>
            </w:pPr>
            <w:r>
              <w:rPr>
                <w:rFonts w:hint="eastAsia" w:ascii="宋体" w:hAnsi="宋体" w:cs="宋体"/>
                <w:sz w:val="24"/>
                <w:szCs w:val="24"/>
              </w:rPr>
              <w:t>项目工程师</w:t>
            </w:r>
          </w:p>
        </w:tc>
        <w:tc>
          <w:tcPr>
            <w:tcW w:w="849" w:type="dxa"/>
            <w:tcBorders>
              <w:top w:val="single" w:color="auto" w:sz="12" w:space="0"/>
              <w:bottom w:val="double" w:color="auto" w:sz="4" w:space="0"/>
            </w:tcBorders>
            <w:vAlign w:val="center"/>
          </w:tcPr>
          <w:p w14:paraId="44DCE515">
            <w:pPr>
              <w:jc w:val="center"/>
              <w:rPr>
                <w:rFonts w:ascii="宋体"/>
                <w:sz w:val="24"/>
                <w:szCs w:val="24"/>
              </w:rPr>
            </w:pPr>
            <w:r>
              <w:rPr>
                <w:rFonts w:hint="eastAsia" w:ascii="宋体" w:hAnsi="宋体" w:cs="宋体"/>
                <w:sz w:val="24"/>
                <w:szCs w:val="24"/>
              </w:rPr>
              <w:t>姓名</w:t>
            </w:r>
          </w:p>
        </w:tc>
        <w:tc>
          <w:tcPr>
            <w:tcW w:w="849" w:type="dxa"/>
            <w:tcBorders>
              <w:top w:val="single" w:color="auto" w:sz="12" w:space="0"/>
              <w:bottom w:val="double" w:color="auto" w:sz="4" w:space="0"/>
            </w:tcBorders>
            <w:vAlign w:val="center"/>
          </w:tcPr>
          <w:p w14:paraId="041BE89D">
            <w:pPr>
              <w:jc w:val="center"/>
              <w:rPr>
                <w:rFonts w:ascii="宋体"/>
                <w:sz w:val="24"/>
                <w:szCs w:val="24"/>
              </w:rPr>
            </w:pPr>
            <w:r>
              <w:rPr>
                <w:rFonts w:hint="eastAsia" w:ascii="宋体" w:hAnsi="宋体" w:cs="宋体"/>
                <w:sz w:val="24"/>
                <w:szCs w:val="24"/>
              </w:rPr>
              <w:t>职务</w:t>
            </w:r>
          </w:p>
        </w:tc>
        <w:tc>
          <w:tcPr>
            <w:tcW w:w="849" w:type="dxa"/>
            <w:tcBorders>
              <w:top w:val="single" w:color="auto" w:sz="12" w:space="0"/>
              <w:bottom w:val="double" w:color="auto" w:sz="4" w:space="0"/>
            </w:tcBorders>
            <w:vAlign w:val="center"/>
          </w:tcPr>
          <w:p w14:paraId="0C44C95D">
            <w:pPr>
              <w:jc w:val="center"/>
              <w:rPr>
                <w:rFonts w:ascii="宋体"/>
                <w:sz w:val="24"/>
                <w:szCs w:val="24"/>
              </w:rPr>
            </w:pPr>
            <w:r>
              <w:rPr>
                <w:rFonts w:hint="eastAsia" w:ascii="宋体" w:hAnsi="宋体" w:cs="宋体"/>
                <w:sz w:val="24"/>
                <w:szCs w:val="24"/>
              </w:rPr>
              <w:t>职称</w:t>
            </w:r>
          </w:p>
        </w:tc>
        <w:tc>
          <w:tcPr>
            <w:tcW w:w="3808" w:type="dxa"/>
            <w:tcBorders>
              <w:top w:val="single" w:color="auto" w:sz="12" w:space="0"/>
              <w:bottom w:val="double" w:color="auto" w:sz="4" w:space="0"/>
              <w:right w:val="single" w:color="auto" w:sz="12" w:space="0"/>
            </w:tcBorders>
            <w:vAlign w:val="center"/>
          </w:tcPr>
          <w:p w14:paraId="5FC27C83">
            <w:pPr>
              <w:jc w:val="center"/>
              <w:rPr>
                <w:rFonts w:ascii="宋体"/>
                <w:sz w:val="24"/>
                <w:szCs w:val="24"/>
              </w:rPr>
            </w:pPr>
            <w:r>
              <w:rPr>
                <w:rFonts w:hint="eastAsia" w:ascii="宋体" w:hAnsi="宋体" w:cs="宋体"/>
                <w:sz w:val="24"/>
                <w:szCs w:val="24"/>
              </w:rPr>
              <w:t>主要资历、经验及承担过的工程</w:t>
            </w:r>
          </w:p>
        </w:tc>
      </w:tr>
      <w:tr w14:paraId="2D3E4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restart"/>
            <w:tcBorders>
              <w:top w:val="double" w:color="auto" w:sz="4" w:space="0"/>
              <w:left w:val="single" w:color="auto" w:sz="12" w:space="0"/>
            </w:tcBorders>
            <w:vAlign w:val="center"/>
          </w:tcPr>
          <w:p w14:paraId="487CB6A9">
            <w:pPr>
              <w:jc w:val="center"/>
              <w:rPr>
                <w:rFonts w:ascii="宋体"/>
                <w:sz w:val="24"/>
                <w:szCs w:val="24"/>
              </w:rPr>
            </w:pPr>
            <w:r>
              <w:rPr>
                <w:rFonts w:hint="eastAsia" w:ascii="宋体" w:hAnsi="宋体" w:cs="宋体"/>
                <w:sz w:val="24"/>
                <w:szCs w:val="24"/>
              </w:rPr>
              <w:t>总</w:t>
            </w:r>
          </w:p>
          <w:p w14:paraId="70057A93">
            <w:pPr>
              <w:jc w:val="center"/>
              <w:rPr>
                <w:rFonts w:ascii="宋体"/>
                <w:sz w:val="24"/>
                <w:szCs w:val="24"/>
              </w:rPr>
            </w:pPr>
          </w:p>
          <w:p w14:paraId="62E36EAD">
            <w:pPr>
              <w:jc w:val="center"/>
              <w:rPr>
                <w:rFonts w:ascii="宋体"/>
                <w:sz w:val="24"/>
                <w:szCs w:val="24"/>
              </w:rPr>
            </w:pPr>
          </w:p>
          <w:p w14:paraId="13DA0111">
            <w:pPr>
              <w:jc w:val="center"/>
              <w:rPr>
                <w:rFonts w:ascii="宋体"/>
                <w:sz w:val="24"/>
                <w:szCs w:val="24"/>
              </w:rPr>
            </w:pPr>
            <w:r>
              <w:rPr>
                <w:rFonts w:hint="eastAsia" w:ascii="宋体" w:hAnsi="宋体" w:cs="宋体"/>
                <w:sz w:val="24"/>
                <w:szCs w:val="24"/>
              </w:rPr>
              <w:t>部</w:t>
            </w:r>
          </w:p>
        </w:tc>
        <w:tc>
          <w:tcPr>
            <w:tcW w:w="1804" w:type="dxa"/>
            <w:tcBorders>
              <w:top w:val="double" w:color="auto" w:sz="4" w:space="0"/>
            </w:tcBorders>
            <w:vAlign w:val="center"/>
          </w:tcPr>
          <w:p w14:paraId="17C9A7B7">
            <w:pPr>
              <w:jc w:val="center"/>
              <w:rPr>
                <w:rFonts w:ascii="宋体"/>
                <w:sz w:val="24"/>
                <w:szCs w:val="24"/>
              </w:rPr>
            </w:pPr>
            <w:r>
              <w:rPr>
                <w:rFonts w:hint="eastAsia" w:ascii="宋体" w:hAnsi="宋体" w:cs="宋体"/>
                <w:sz w:val="24"/>
                <w:szCs w:val="24"/>
              </w:rPr>
              <w:t>项目主管</w:t>
            </w:r>
          </w:p>
        </w:tc>
        <w:tc>
          <w:tcPr>
            <w:tcW w:w="849" w:type="dxa"/>
            <w:tcBorders>
              <w:top w:val="double" w:color="auto" w:sz="4" w:space="0"/>
            </w:tcBorders>
            <w:vAlign w:val="center"/>
          </w:tcPr>
          <w:p w14:paraId="3400DE9E">
            <w:pPr>
              <w:jc w:val="center"/>
              <w:rPr>
                <w:rFonts w:ascii="宋体"/>
                <w:sz w:val="24"/>
                <w:szCs w:val="24"/>
              </w:rPr>
            </w:pPr>
          </w:p>
        </w:tc>
        <w:tc>
          <w:tcPr>
            <w:tcW w:w="849" w:type="dxa"/>
            <w:tcBorders>
              <w:top w:val="double" w:color="auto" w:sz="4" w:space="0"/>
            </w:tcBorders>
            <w:vAlign w:val="center"/>
          </w:tcPr>
          <w:p w14:paraId="5040EE6B">
            <w:pPr>
              <w:jc w:val="center"/>
              <w:rPr>
                <w:rFonts w:ascii="宋体"/>
                <w:sz w:val="24"/>
                <w:szCs w:val="24"/>
              </w:rPr>
            </w:pPr>
          </w:p>
        </w:tc>
        <w:tc>
          <w:tcPr>
            <w:tcW w:w="849" w:type="dxa"/>
            <w:tcBorders>
              <w:top w:val="double" w:color="auto" w:sz="4" w:space="0"/>
            </w:tcBorders>
            <w:vAlign w:val="center"/>
          </w:tcPr>
          <w:p w14:paraId="3F19CBBC">
            <w:pPr>
              <w:jc w:val="center"/>
              <w:rPr>
                <w:rFonts w:ascii="宋体"/>
                <w:sz w:val="24"/>
                <w:szCs w:val="24"/>
              </w:rPr>
            </w:pPr>
          </w:p>
        </w:tc>
        <w:tc>
          <w:tcPr>
            <w:tcW w:w="3808" w:type="dxa"/>
            <w:tcBorders>
              <w:top w:val="double" w:color="auto" w:sz="4" w:space="0"/>
              <w:right w:val="single" w:color="auto" w:sz="12" w:space="0"/>
            </w:tcBorders>
            <w:vAlign w:val="center"/>
          </w:tcPr>
          <w:p w14:paraId="34E714A2">
            <w:pPr>
              <w:jc w:val="center"/>
              <w:rPr>
                <w:rFonts w:ascii="宋体"/>
                <w:sz w:val="24"/>
                <w:szCs w:val="24"/>
              </w:rPr>
            </w:pPr>
          </w:p>
        </w:tc>
      </w:tr>
      <w:tr w14:paraId="56337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6831F02C">
            <w:pPr>
              <w:widowControl/>
              <w:jc w:val="left"/>
              <w:rPr>
                <w:rFonts w:ascii="宋体"/>
                <w:sz w:val="24"/>
                <w:szCs w:val="24"/>
              </w:rPr>
            </w:pPr>
          </w:p>
        </w:tc>
        <w:tc>
          <w:tcPr>
            <w:tcW w:w="1804" w:type="dxa"/>
            <w:vAlign w:val="center"/>
          </w:tcPr>
          <w:p w14:paraId="474D4D5F">
            <w:pPr>
              <w:jc w:val="center"/>
              <w:rPr>
                <w:rFonts w:ascii="宋体"/>
                <w:sz w:val="24"/>
                <w:szCs w:val="24"/>
              </w:rPr>
            </w:pPr>
            <w:r>
              <w:rPr>
                <w:rFonts w:hint="eastAsia" w:ascii="宋体" w:hAnsi="宋体" w:cs="宋体"/>
                <w:sz w:val="24"/>
                <w:szCs w:val="24"/>
              </w:rPr>
              <w:t>技术负责人</w:t>
            </w:r>
          </w:p>
        </w:tc>
        <w:tc>
          <w:tcPr>
            <w:tcW w:w="849" w:type="dxa"/>
            <w:vAlign w:val="center"/>
          </w:tcPr>
          <w:p w14:paraId="28E04C57">
            <w:pPr>
              <w:jc w:val="center"/>
              <w:rPr>
                <w:rFonts w:ascii="宋体"/>
                <w:sz w:val="24"/>
                <w:szCs w:val="24"/>
              </w:rPr>
            </w:pPr>
          </w:p>
        </w:tc>
        <w:tc>
          <w:tcPr>
            <w:tcW w:w="849" w:type="dxa"/>
            <w:vAlign w:val="center"/>
          </w:tcPr>
          <w:p w14:paraId="479A271A">
            <w:pPr>
              <w:jc w:val="center"/>
              <w:rPr>
                <w:rFonts w:ascii="宋体"/>
                <w:sz w:val="24"/>
                <w:szCs w:val="24"/>
              </w:rPr>
            </w:pPr>
          </w:p>
        </w:tc>
        <w:tc>
          <w:tcPr>
            <w:tcW w:w="849" w:type="dxa"/>
            <w:vAlign w:val="center"/>
          </w:tcPr>
          <w:p w14:paraId="41B7D0AF">
            <w:pPr>
              <w:jc w:val="center"/>
              <w:rPr>
                <w:rFonts w:ascii="宋体"/>
                <w:sz w:val="24"/>
                <w:szCs w:val="24"/>
              </w:rPr>
            </w:pPr>
          </w:p>
        </w:tc>
        <w:tc>
          <w:tcPr>
            <w:tcW w:w="3808" w:type="dxa"/>
            <w:tcBorders>
              <w:right w:val="single" w:color="auto" w:sz="12" w:space="0"/>
            </w:tcBorders>
            <w:vAlign w:val="center"/>
          </w:tcPr>
          <w:p w14:paraId="46B5F191">
            <w:pPr>
              <w:jc w:val="center"/>
              <w:rPr>
                <w:rFonts w:ascii="宋体"/>
                <w:sz w:val="24"/>
                <w:szCs w:val="24"/>
              </w:rPr>
            </w:pPr>
          </w:p>
        </w:tc>
      </w:tr>
      <w:tr w14:paraId="727CB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2D822D38">
            <w:pPr>
              <w:widowControl/>
              <w:jc w:val="left"/>
              <w:rPr>
                <w:rFonts w:ascii="宋体"/>
                <w:sz w:val="24"/>
                <w:szCs w:val="24"/>
              </w:rPr>
            </w:pPr>
          </w:p>
        </w:tc>
        <w:tc>
          <w:tcPr>
            <w:tcW w:w="1804" w:type="dxa"/>
            <w:vAlign w:val="center"/>
          </w:tcPr>
          <w:p w14:paraId="700D5202">
            <w:pPr>
              <w:jc w:val="center"/>
              <w:rPr>
                <w:rFonts w:ascii="宋体"/>
                <w:sz w:val="24"/>
                <w:szCs w:val="24"/>
              </w:rPr>
            </w:pPr>
          </w:p>
        </w:tc>
        <w:tc>
          <w:tcPr>
            <w:tcW w:w="849" w:type="dxa"/>
            <w:vAlign w:val="center"/>
          </w:tcPr>
          <w:p w14:paraId="1451278B">
            <w:pPr>
              <w:jc w:val="center"/>
              <w:rPr>
                <w:rFonts w:ascii="宋体"/>
                <w:sz w:val="24"/>
                <w:szCs w:val="24"/>
              </w:rPr>
            </w:pPr>
          </w:p>
        </w:tc>
        <w:tc>
          <w:tcPr>
            <w:tcW w:w="849" w:type="dxa"/>
            <w:vAlign w:val="center"/>
          </w:tcPr>
          <w:p w14:paraId="5A208145">
            <w:pPr>
              <w:jc w:val="center"/>
              <w:rPr>
                <w:rFonts w:ascii="宋体"/>
                <w:sz w:val="24"/>
                <w:szCs w:val="24"/>
              </w:rPr>
            </w:pPr>
          </w:p>
        </w:tc>
        <w:tc>
          <w:tcPr>
            <w:tcW w:w="849" w:type="dxa"/>
            <w:vAlign w:val="center"/>
          </w:tcPr>
          <w:p w14:paraId="15269772">
            <w:pPr>
              <w:jc w:val="center"/>
              <w:rPr>
                <w:rFonts w:ascii="宋体"/>
                <w:sz w:val="24"/>
                <w:szCs w:val="24"/>
              </w:rPr>
            </w:pPr>
          </w:p>
        </w:tc>
        <w:tc>
          <w:tcPr>
            <w:tcW w:w="3808" w:type="dxa"/>
            <w:tcBorders>
              <w:right w:val="single" w:color="auto" w:sz="12" w:space="0"/>
            </w:tcBorders>
            <w:vAlign w:val="center"/>
          </w:tcPr>
          <w:p w14:paraId="3114BE4E">
            <w:pPr>
              <w:jc w:val="center"/>
              <w:rPr>
                <w:rFonts w:ascii="宋体"/>
                <w:sz w:val="24"/>
                <w:szCs w:val="24"/>
              </w:rPr>
            </w:pPr>
          </w:p>
        </w:tc>
      </w:tr>
      <w:tr w14:paraId="62D81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1C365596">
            <w:pPr>
              <w:widowControl/>
              <w:jc w:val="left"/>
              <w:rPr>
                <w:rFonts w:ascii="宋体"/>
                <w:sz w:val="24"/>
                <w:szCs w:val="24"/>
              </w:rPr>
            </w:pPr>
          </w:p>
        </w:tc>
        <w:tc>
          <w:tcPr>
            <w:tcW w:w="1804" w:type="dxa"/>
            <w:vAlign w:val="center"/>
          </w:tcPr>
          <w:p w14:paraId="23E7CA44">
            <w:pPr>
              <w:jc w:val="center"/>
              <w:rPr>
                <w:rFonts w:ascii="宋体"/>
                <w:sz w:val="24"/>
                <w:szCs w:val="24"/>
              </w:rPr>
            </w:pPr>
          </w:p>
        </w:tc>
        <w:tc>
          <w:tcPr>
            <w:tcW w:w="849" w:type="dxa"/>
            <w:vAlign w:val="center"/>
          </w:tcPr>
          <w:p w14:paraId="1AD68FF4">
            <w:pPr>
              <w:jc w:val="center"/>
              <w:rPr>
                <w:rFonts w:ascii="宋体"/>
                <w:sz w:val="24"/>
                <w:szCs w:val="24"/>
              </w:rPr>
            </w:pPr>
          </w:p>
        </w:tc>
        <w:tc>
          <w:tcPr>
            <w:tcW w:w="849" w:type="dxa"/>
            <w:vAlign w:val="center"/>
          </w:tcPr>
          <w:p w14:paraId="3AB04B19">
            <w:pPr>
              <w:jc w:val="center"/>
              <w:rPr>
                <w:rFonts w:ascii="宋体"/>
                <w:sz w:val="24"/>
                <w:szCs w:val="24"/>
              </w:rPr>
            </w:pPr>
          </w:p>
        </w:tc>
        <w:tc>
          <w:tcPr>
            <w:tcW w:w="849" w:type="dxa"/>
            <w:vAlign w:val="center"/>
          </w:tcPr>
          <w:p w14:paraId="0D8150B4">
            <w:pPr>
              <w:jc w:val="center"/>
              <w:rPr>
                <w:rFonts w:ascii="宋体"/>
                <w:sz w:val="24"/>
                <w:szCs w:val="24"/>
              </w:rPr>
            </w:pPr>
          </w:p>
        </w:tc>
        <w:tc>
          <w:tcPr>
            <w:tcW w:w="3808" w:type="dxa"/>
            <w:tcBorders>
              <w:right w:val="single" w:color="auto" w:sz="12" w:space="0"/>
            </w:tcBorders>
            <w:vAlign w:val="center"/>
          </w:tcPr>
          <w:p w14:paraId="1B018DDA">
            <w:pPr>
              <w:jc w:val="center"/>
              <w:rPr>
                <w:rFonts w:ascii="宋体"/>
                <w:sz w:val="24"/>
                <w:szCs w:val="24"/>
              </w:rPr>
            </w:pPr>
          </w:p>
        </w:tc>
      </w:tr>
      <w:tr w14:paraId="64648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1386562A">
            <w:pPr>
              <w:widowControl/>
              <w:jc w:val="left"/>
              <w:rPr>
                <w:rFonts w:ascii="宋体"/>
                <w:sz w:val="24"/>
                <w:szCs w:val="24"/>
              </w:rPr>
            </w:pPr>
          </w:p>
        </w:tc>
        <w:tc>
          <w:tcPr>
            <w:tcW w:w="1804" w:type="dxa"/>
            <w:vAlign w:val="center"/>
          </w:tcPr>
          <w:p w14:paraId="22639DC6">
            <w:pPr>
              <w:jc w:val="center"/>
              <w:rPr>
                <w:rFonts w:ascii="宋体"/>
                <w:sz w:val="24"/>
                <w:szCs w:val="24"/>
              </w:rPr>
            </w:pPr>
          </w:p>
        </w:tc>
        <w:tc>
          <w:tcPr>
            <w:tcW w:w="849" w:type="dxa"/>
            <w:vAlign w:val="center"/>
          </w:tcPr>
          <w:p w14:paraId="74A43B75">
            <w:pPr>
              <w:jc w:val="center"/>
              <w:rPr>
                <w:rFonts w:ascii="宋体"/>
                <w:sz w:val="24"/>
                <w:szCs w:val="24"/>
              </w:rPr>
            </w:pPr>
          </w:p>
        </w:tc>
        <w:tc>
          <w:tcPr>
            <w:tcW w:w="849" w:type="dxa"/>
            <w:vAlign w:val="center"/>
          </w:tcPr>
          <w:p w14:paraId="2CEF02F8">
            <w:pPr>
              <w:jc w:val="center"/>
              <w:rPr>
                <w:rFonts w:ascii="宋体"/>
                <w:sz w:val="24"/>
                <w:szCs w:val="24"/>
              </w:rPr>
            </w:pPr>
          </w:p>
        </w:tc>
        <w:tc>
          <w:tcPr>
            <w:tcW w:w="849" w:type="dxa"/>
            <w:vAlign w:val="center"/>
          </w:tcPr>
          <w:p w14:paraId="1594D09C">
            <w:pPr>
              <w:jc w:val="center"/>
              <w:rPr>
                <w:rFonts w:ascii="宋体"/>
                <w:sz w:val="24"/>
                <w:szCs w:val="24"/>
              </w:rPr>
            </w:pPr>
          </w:p>
        </w:tc>
        <w:tc>
          <w:tcPr>
            <w:tcW w:w="3808" w:type="dxa"/>
            <w:tcBorders>
              <w:right w:val="single" w:color="auto" w:sz="12" w:space="0"/>
            </w:tcBorders>
            <w:vAlign w:val="center"/>
          </w:tcPr>
          <w:p w14:paraId="34CFC216">
            <w:pPr>
              <w:jc w:val="center"/>
              <w:rPr>
                <w:rFonts w:ascii="宋体"/>
                <w:sz w:val="24"/>
                <w:szCs w:val="24"/>
              </w:rPr>
            </w:pPr>
          </w:p>
        </w:tc>
      </w:tr>
      <w:tr w14:paraId="7153F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67090921">
            <w:pPr>
              <w:widowControl/>
              <w:jc w:val="left"/>
              <w:rPr>
                <w:rFonts w:ascii="宋体"/>
                <w:sz w:val="24"/>
                <w:szCs w:val="24"/>
              </w:rPr>
            </w:pPr>
          </w:p>
        </w:tc>
        <w:tc>
          <w:tcPr>
            <w:tcW w:w="1804" w:type="dxa"/>
            <w:vAlign w:val="center"/>
          </w:tcPr>
          <w:p w14:paraId="012A2E6F">
            <w:pPr>
              <w:jc w:val="center"/>
              <w:rPr>
                <w:rFonts w:ascii="宋体"/>
                <w:sz w:val="24"/>
                <w:szCs w:val="24"/>
              </w:rPr>
            </w:pPr>
          </w:p>
        </w:tc>
        <w:tc>
          <w:tcPr>
            <w:tcW w:w="849" w:type="dxa"/>
            <w:vAlign w:val="center"/>
          </w:tcPr>
          <w:p w14:paraId="7513565A">
            <w:pPr>
              <w:jc w:val="center"/>
              <w:rPr>
                <w:rFonts w:ascii="宋体"/>
                <w:sz w:val="24"/>
                <w:szCs w:val="24"/>
              </w:rPr>
            </w:pPr>
          </w:p>
        </w:tc>
        <w:tc>
          <w:tcPr>
            <w:tcW w:w="849" w:type="dxa"/>
            <w:vAlign w:val="center"/>
          </w:tcPr>
          <w:p w14:paraId="05C20AE6">
            <w:pPr>
              <w:jc w:val="center"/>
              <w:rPr>
                <w:rFonts w:ascii="宋体"/>
                <w:sz w:val="24"/>
                <w:szCs w:val="24"/>
              </w:rPr>
            </w:pPr>
          </w:p>
        </w:tc>
        <w:tc>
          <w:tcPr>
            <w:tcW w:w="849" w:type="dxa"/>
            <w:vAlign w:val="center"/>
          </w:tcPr>
          <w:p w14:paraId="10F40CB3">
            <w:pPr>
              <w:jc w:val="center"/>
              <w:rPr>
                <w:rFonts w:ascii="宋体"/>
                <w:sz w:val="24"/>
                <w:szCs w:val="24"/>
              </w:rPr>
            </w:pPr>
          </w:p>
        </w:tc>
        <w:tc>
          <w:tcPr>
            <w:tcW w:w="3808" w:type="dxa"/>
            <w:tcBorders>
              <w:right w:val="single" w:color="auto" w:sz="12" w:space="0"/>
            </w:tcBorders>
            <w:vAlign w:val="center"/>
          </w:tcPr>
          <w:p w14:paraId="03E05D9A">
            <w:pPr>
              <w:jc w:val="center"/>
              <w:rPr>
                <w:rFonts w:ascii="宋体"/>
                <w:sz w:val="24"/>
                <w:szCs w:val="24"/>
              </w:rPr>
            </w:pPr>
          </w:p>
        </w:tc>
      </w:tr>
      <w:tr w14:paraId="11B45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0002CE18">
            <w:pPr>
              <w:widowControl/>
              <w:jc w:val="left"/>
              <w:rPr>
                <w:rFonts w:ascii="宋体"/>
                <w:sz w:val="24"/>
                <w:szCs w:val="24"/>
              </w:rPr>
            </w:pPr>
          </w:p>
        </w:tc>
        <w:tc>
          <w:tcPr>
            <w:tcW w:w="1804" w:type="dxa"/>
            <w:vAlign w:val="center"/>
          </w:tcPr>
          <w:p w14:paraId="23D753CE">
            <w:pPr>
              <w:jc w:val="center"/>
              <w:rPr>
                <w:rFonts w:ascii="宋体"/>
                <w:sz w:val="24"/>
                <w:szCs w:val="24"/>
              </w:rPr>
            </w:pPr>
          </w:p>
        </w:tc>
        <w:tc>
          <w:tcPr>
            <w:tcW w:w="849" w:type="dxa"/>
            <w:vAlign w:val="center"/>
          </w:tcPr>
          <w:p w14:paraId="42DB883C">
            <w:pPr>
              <w:jc w:val="center"/>
              <w:rPr>
                <w:rFonts w:ascii="宋体"/>
                <w:sz w:val="24"/>
                <w:szCs w:val="24"/>
              </w:rPr>
            </w:pPr>
          </w:p>
        </w:tc>
        <w:tc>
          <w:tcPr>
            <w:tcW w:w="849" w:type="dxa"/>
            <w:vAlign w:val="center"/>
          </w:tcPr>
          <w:p w14:paraId="111577B6">
            <w:pPr>
              <w:jc w:val="center"/>
              <w:rPr>
                <w:rFonts w:ascii="宋体"/>
                <w:sz w:val="24"/>
                <w:szCs w:val="24"/>
              </w:rPr>
            </w:pPr>
          </w:p>
        </w:tc>
        <w:tc>
          <w:tcPr>
            <w:tcW w:w="849" w:type="dxa"/>
            <w:vAlign w:val="center"/>
          </w:tcPr>
          <w:p w14:paraId="1258EF67">
            <w:pPr>
              <w:jc w:val="center"/>
              <w:rPr>
                <w:rFonts w:ascii="宋体"/>
                <w:sz w:val="24"/>
                <w:szCs w:val="24"/>
              </w:rPr>
            </w:pPr>
          </w:p>
        </w:tc>
        <w:tc>
          <w:tcPr>
            <w:tcW w:w="3808" w:type="dxa"/>
            <w:tcBorders>
              <w:right w:val="single" w:color="auto" w:sz="12" w:space="0"/>
            </w:tcBorders>
            <w:vAlign w:val="center"/>
          </w:tcPr>
          <w:p w14:paraId="5B508DE2">
            <w:pPr>
              <w:jc w:val="center"/>
              <w:rPr>
                <w:rFonts w:ascii="宋体"/>
                <w:sz w:val="24"/>
                <w:szCs w:val="24"/>
              </w:rPr>
            </w:pPr>
          </w:p>
        </w:tc>
      </w:tr>
      <w:tr w14:paraId="056DA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149A2326">
            <w:pPr>
              <w:widowControl/>
              <w:jc w:val="left"/>
              <w:rPr>
                <w:rFonts w:ascii="宋体"/>
                <w:sz w:val="24"/>
                <w:szCs w:val="24"/>
              </w:rPr>
            </w:pPr>
          </w:p>
        </w:tc>
        <w:tc>
          <w:tcPr>
            <w:tcW w:w="1804" w:type="dxa"/>
            <w:vAlign w:val="center"/>
          </w:tcPr>
          <w:p w14:paraId="02310F6F">
            <w:pPr>
              <w:jc w:val="center"/>
              <w:rPr>
                <w:rFonts w:ascii="宋体"/>
                <w:sz w:val="24"/>
                <w:szCs w:val="24"/>
              </w:rPr>
            </w:pPr>
          </w:p>
        </w:tc>
        <w:tc>
          <w:tcPr>
            <w:tcW w:w="849" w:type="dxa"/>
            <w:vAlign w:val="center"/>
          </w:tcPr>
          <w:p w14:paraId="625376D7">
            <w:pPr>
              <w:jc w:val="center"/>
              <w:rPr>
                <w:rFonts w:ascii="宋体"/>
                <w:sz w:val="24"/>
                <w:szCs w:val="24"/>
              </w:rPr>
            </w:pPr>
          </w:p>
        </w:tc>
        <w:tc>
          <w:tcPr>
            <w:tcW w:w="849" w:type="dxa"/>
            <w:vAlign w:val="center"/>
          </w:tcPr>
          <w:p w14:paraId="101426F7">
            <w:pPr>
              <w:jc w:val="center"/>
              <w:rPr>
                <w:rFonts w:ascii="宋体"/>
                <w:sz w:val="24"/>
                <w:szCs w:val="24"/>
              </w:rPr>
            </w:pPr>
          </w:p>
        </w:tc>
        <w:tc>
          <w:tcPr>
            <w:tcW w:w="849" w:type="dxa"/>
            <w:vAlign w:val="center"/>
          </w:tcPr>
          <w:p w14:paraId="4066C6CE">
            <w:pPr>
              <w:jc w:val="center"/>
              <w:rPr>
                <w:rFonts w:ascii="宋体"/>
                <w:sz w:val="24"/>
                <w:szCs w:val="24"/>
              </w:rPr>
            </w:pPr>
          </w:p>
        </w:tc>
        <w:tc>
          <w:tcPr>
            <w:tcW w:w="3808" w:type="dxa"/>
            <w:tcBorders>
              <w:right w:val="single" w:color="auto" w:sz="12" w:space="0"/>
            </w:tcBorders>
            <w:vAlign w:val="center"/>
          </w:tcPr>
          <w:p w14:paraId="7908EC1C">
            <w:pPr>
              <w:jc w:val="center"/>
              <w:rPr>
                <w:rFonts w:ascii="宋体"/>
                <w:sz w:val="24"/>
                <w:szCs w:val="24"/>
              </w:rPr>
            </w:pPr>
          </w:p>
        </w:tc>
      </w:tr>
      <w:tr w14:paraId="62CFE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restart"/>
            <w:tcBorders>
              <w:left w:val="single" w:color="auto" w:sz="12" w:space="0"/>
              <w:bottom w:val="single" w:color="auto" w:sz="12" w:space="0"/>
            </w:tcBorders>
            <w:vAlign w:val="center"/>
          </w:tcPr>
          <w:p w14:paraId="1E981DAF">
            <w:pPr>
              <w:jc w:val="center"/>
              <w:rPr>
                <w:rFonts w:ascii="宋体"/>
                <w:sz w:val="24"/>
                <w:szCs w:val="24"/>
              </w:rPr>
            </w:pPr>
            <w:r>
              <w:rPr>
                <w:rFonts w:hint="eastAsia" w:ascii="宋体" w:hAnsi="宋体" w:cs="宋体"/>
                <w:sz w:val="24"/>
                <w:szCs w:val="24"/>
              </w:rPr>
              <w:t>现</w:t>
            </w:r>
          </w:p>
          <w:p w14:paraId="26210B26">
            <w:pPr>
              <w:jc w:val="center"/>
              <w:rPr>
                <w:rFonts w:ascii="宋体"/>
                <w:sz w:val="24"/>
                <w:szCs w:val="24"/>
              </w:rPr>
            </w:pPr>
          </w:p>
          <w:p w14:paraId="3669FD03">
            <w:pPr>
              <w:jc w:val="center"/>
              <w:rPr>
                <w:rFonts w:ascii="宋体"/>
                <w:sz w:val="24"/>
                <w:szCs w:val="24"/>
              </w:rPr>
            </w:pPr>
          </w:p>
          <w:p w14:paraId="3E1C799C">
            <w:pPr>
              <w:jc w:val="center"/>
              <w:rPr>
                <w:rFonts w:ascii="宋体"/>
                <w:sz w:val="24"/>
                <w:szCs w:val="24"/>
              </w:rPr>
            </w:pPr>
            <w:r>
              <w:rPr>
                <w:rFonts w:hint="eastAsia" w:ascii="宋体" w:hAnsi="宋体" w:cs="宋体"/>
                <w:sz w:val="24"/>
                <w:szCs w:val="24"/>
              </w:rPr>
              <w:t>场</w:t>
            </w:r>
          </w:p>
        </w:tc>
        <w:tc>
          <w:tcPr>
            <w:tcW w:w="1804" w:type="dxa"/>
            <w:vAlign w:val="center"/>
          </w:tcPr>
          <w:p w14:paraId="03BB6E4B">
            <w:pPr>
              <w:jc w:val="center"/>
              <w:rPr>
                <w:rFonts w:ascii="宋体"/>
                <w:sz w:val="24"/>
                <w:szCs w:val="24"/>
              </w:rPr>
            </w:pPr>
            <w:r>
              <w:rPr>
                <w:rFonts w:hint="eastAsia" w:ascii="宋体" w:hAnsi="宋体" w:cs="宋体"/>
                <w:sz w:val="24"/>
                <w:szCs w:val="24"/>
              </w:rPr>
              <w:t>项目负责人</w:t>
            </w:r>
          </w:p>
        </w:tc>
        <w:tc>
          <w:tcPr>
            <w:tcW w:w="849" w:type="dxa"/>
            <w:vAlign w:val="center"/>
          </w:tcPr>
          <w:p w14:paraId="4BEA93B5">
            <w:pPr>
              <w:jc w:val="center"/>
              <w:rPr>
                <w:rFonts w:ascii="宋体"/>
                <w:sz w:val="24"/>
                <w:szCs w:val="24"/>
              </w:rPr>
            </w:pPr>
          </w:p>
        </w:tc>
        <w:tc>
          <w:tcPr>
            <w:tcW w:w="849" w:type="dxa"/>
            <w:vAlign w:val="center"/>
          </w:tcPr>
          <w:p w14:paraId="6763A614">
            <w:pPr>
              <w:jc w:val="center"/>
              <w:rPr>
                <w:rFonts w:ascii="宋体"/>
                <w:sz w:val="24"/>
                <w:szCs w:val="24"/>
              </w:rPr>
            </w:pPr>
          </w:p>
        </w:tc>
        <w:tc>
          <w:tcPr>
            <w:tcW w:w="849" w:type="dxa"/>
            <w:vAlign w:val="center"/>
          </w:tcPr>
          <w:p w14:paraId="5EB2CC2D">
            <w:pPr>
              <w:jc w:val="center"/>
              <w:rPr>
                <w:rFonts w:ascii="宋体"/>
                <w:sz w:val="24"/>
                <w:szCs w:val="24"/>
              </w:rPr>
            </w:pPr>
          </w:p>
        </w:tc>
        <w:tc>
          <w:tcPr>
            <w:tcW w:w="3808" w:type="dxa"/>
            <w:tcBorders>
              <w:right w:val="single" w:color="auto" w:sz="12" w:space="0"/>
            </w:tcBorders>
            <w:vAlign w:val="center"/>
          </w:tcPr>
          <w:p w14:paraId="657A6E9F">
            <w:pPr>
              <w:jc w:val="center"/>
              <w:rPr>
                <w:rFonts w:ascii="宋体"/>
                <w:sz w:val="24"/>
                <w:szCs w:val="24"/>
              </w:rPr>
            </w:pPr>
          </w:p>
        </w:tc>
      </w:tr>
      <w:tr w14:paraId="0A326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67CDB13F">
            <w:pPr>
              <w:widowControl/>
              <w:jc w:val="left"/>
              <w:rPr>
                <w:rFonts w:ascii="宋体"/>
                <w:sz w:val="24"/>
                <w:szCs w:val="24"/>
              </w:rPr>
            </w:pPr>
          </w:p>
        </w:tc>
        <w:tc>
          <w:tcPr>
            <w:tcW w:w="1804" w:type="dxa"/>
            <w:vAlign w:val="center"/>
          </w:tcPr>
          <w:p w14:paraId="33E253CF">
            <w:pPr>
              <w:jc w:val="center"/>
              <w:rPr>
                <w:rFonts w:ascii="宋体"/>
                <w:sz w:val="24"/>
                <w:szCs w:val="24"/>
              </w:rPr>
            </w:pPr>
            <w:r>
              <w:rPr>
                <w:rFonts w:hint="eastAsia" w:ascii="宋体" w:hAnsi="宋体" w:cs="宋体"/>
                <w:sz w:val="24"/>
                <w:szCs w:val="24"/>
              </w:rPr>
              <w:t>项目技术负责人</w:t>
            </w:r>
          </w:p>
        </w:tc>
        <w:tc>
          <w:tcPr>
            <w:tcW w:w="849" w:type="dxa"/>
            <w:vAlign w:val="center"/>
          </w:tcPr>
          <w:p w14:paraId="606EFE55">
            <w:pPr>
              <w:jc w:val="center"/>
              <w:rPr>
                <w:rFonts w:ascii="宋体"/>
                <w:sz w:val="24"/>
                <w:szCs w:val="24"/>
              </w:rPr>
            </w:pPr>
          </w:p>
        </w:tc>
        <w:tc>
          <w:tcPr>
            <w:tcW w:w="849" w:type="dxa"/>
            <w:vAlign w:val="center"/>
          </w:tcPr>
          <w:p w14:paraId="474DB412">
            <w:pPr>
              <w:jc w:val="center"/>
              <w:rPr>
                <w:rFonts w:ascii="宋体"/>
                <w:sz w:val="24"/>
                <w:szCs w:val="24"/>
              </w:rPr>
            </w:pPr>
          </w:p>
        </w:tc>
        <w:tc>
          <w:tcPr>
            <w:tcW w:w="849" w:type="dxa"/>
            <w:vAlign w:val="center"/>
          </w:tcPr>
          <w:p w14:paraId="36C1DA58">
            <w:pPr>
              <w:jc w:val="center"/>
              <w:rPr>
                <w:rFonts w:ascii="宋体"/>
                <w:sz w:val="24"/>
                <w:szCs w:val="24"/>
              </w:rPr>
            </w:pPr>
          </w:p>
        </w:tc>
        <w:tc>
          <w:tcPr>
            <w:tcW w:w="3808" w:type="dxa"/>
            <w:tcBorders>
              <w:right w:val="single" w:color="auto" w:sz="12" w:space="0"/>
            </w:tcBorders>
            <w:vAlign w:val="center"/>
          </w:tcPr>
          <w:p w14:paraId="749CE0D1">
            <w:pPr>
              <w:jc w:val="center"/>
              <w:rPr>
                <w:rFonts w:ascii="宋体"/>
                <w:sz w:val="24"/>
                <w:szCs w:val="24"/>
              </w:rPr>
            </w:pPr>
          </w:p>
        </w:tc>
      </w:tr>
      <w:tr w14:paraId="48FD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40B42608">
            <w:pPr>
              <w:widowControl/>
              <w:jc w:val="left"/>
              <w:rPr>
                <w:rFonts w:ascii="宋体"/>
                <w:sz w:val="24"/>
                <w:szCs w:val="24"/>
              </w:rPr>
            </w:pPr>
          </w:p>
        </w:tc>
        <w:tc>
          <w:tcPr>
            <w:tcW w:w="1804" w:type="dxa"/>
            <w:vAlign w:val="center"/>
          </w:tcPr>
          <w:p w14:paraId="777F67C6">
            <w:pPr>
              <w:jc w:val="center"/>
              <w:rPr>
                <w:rFonts w:ascii="宋体"/>
                <w:sz w:val="24"/>
                <w:szCs w:val="24"/>
              </w:rPr>
            </w:pPr>
            <w:r>
              <w:rPr>
                <w:rFonts w:hint="eastAsia" w:ascii="宋体" w:hAnsi="宋体" w:cs="宋体"/>
                <w:sz w:val="24"/>
                <w:szCs w:val="24"/>
              </w:rPr>
              <w:t>质量管理</w:t>
            </w:r>
          </w:p>
        </w:tc>
        <w:tc>
          <w:tcPr>
            <w:tcW w:w="849" w:type="dxa"/>
            <w:vAlign w:val="center"/>
          </w:tcPr>
          <w:p w14:paraId="5C5B6FB9">
            <w:pPr>
              <w:jc w:val="center"/>
              <w:rPr>
                <w:rFonts w:ascii="宋体"/>
                <w:sz w:val="24"/>
                <w:szCs w:val="24"/>
              </w:rPr>
            </w:pPr>
          </w:p>
        </w:tc>
        <w:tc>
          <w:tcPr>
            <w:tcW w:w="849" w:type="dxa"/>
            <w:vAlign w:val="center"/>
          </w:tcPr>
          <w:p w14:paraId="0ECF32B5">
            <w:pPr>
              <w:jc w:val="center"/>
              <w:rPr>
                <w:rFonts w:ascii="宋体"/>
                <w:sz w:val="24"/>
                <w:szCs w:val="24"/>
              </w:rPr>
            </w:pPr>
          </w:p>
        </w:tc>
        <w:tc>
          <w:tcPr>
            <w:tcW w:w="849" w:type="dxa"/>
            <w:vAlign w:val="center"/>
          </w:tcPr>
          <w:p w14:paraId="58983758">
            <w:pPr>
              <w:jc w:val="center"/>
              <w:rPr>
                <w:rFonts w:ascii="宋体"/>
                <w:sz w:val="24"/>
                <w:szCs w:val="24"/>
              </w:rPr>
            </w:pPr>
          </w:p>
        </w:tc>
        <w:tc>
          <w:tcPr>
            <w:tcW w:w="3808" w:type="dxa"/>
            <w:tcBorders>
              <w:right w:val="single" w:color="auto" w:sz="12" w:space="0"/>
            </w:tcBorders>
            <w:vAlign w:val="center"/>
          </w:tcPr>
          <w:p w14:paraId="7C9B3CF3">
            <w:pPr>
              <w:jc w:val="center"/>
              <w:rPr>
                <w:rFonts w:ascii="宋体"/>
                <w:sz w:val="24"/>
                <w:szCs w:val="24"/>
              </w:rPr>
            </w:pPr>
          </w:p>
        </w:tc>
      </w:tr>
      <w:tr w14:paraId="23861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50DC26D9">
            <w:pPr>
              <w:widowControl/>
              <w:jc w:val="left"/>
              <w:rPr>
                <w:rFonts w:ascii="宋体"/>
                <w:sz w:val="24"/>
                <w:szCs w:val="24"/>
              </w:rPr>
            </w:pPr>
          </w:p>
        </w:tc>
        <w:tc>
          <w:tcPr>
            <w:tcW w:w="1804" w:type="dxa"/>
            <w:vAlign w:val="center"/>
          </w:tcPr>
          <w:p w14:paraId="2BFFF114">
            <w:pPr>
              <w:jc w:val="center"/>
              <w:rPr>
                <w:rFonts w:ascii="宋体"/>
                <w:sz w:val="24"/>
                <w:szCs w:val="24"/>
              </w:rPr>
            </w:pPr>
            <w:r>
              <w:rPr>
                <w:rFonts w:hint="eastAsia" w:ascii="宋体" w:hAnsi="宋体" w:cs="宋体"/>
                <w:sz w:val="24"/>
                <w:szCs w:val="24"/>
              </w:rPr>
              <w:t>安全管理</w:t>
            </w:r>
          </w:p>
        </w:tc>
        <w:tc>
          <w:tcPr>
            <w:tcW w:w="849" w:type="dxa"/>
            <w:vAlign w:val="center"/>
          </w:tcPr>
          <w:p w14:paraId="6629BD60">
            <w:pPr>
              <w:jc w:val="center"/>
              <w:rPr>
                <w:rFonts w:ascii="宋体"/>
                <w:sz w:val="24"/>
                <w:szCs w:val="24"/>
              </w:rPr>
            </w:pPr>
          </w:p>
        </w:tc>
        <w:tc>
          <w:tcPr>
            <w:tcW w:w="849" w:type="dxa"/>
            <w:vAlign w:val="center"/>
          </w:tcPr>
          <w:p w14:paraId="67DF52BE">
            <w:pPr>
              <w:jc w:val="center"/>
              <w:rPr>
                <w:rFonts w:ascii="宋体"/>
                <w:sz w:val="24"/>
                <w:szCs w:val="24"/>
              </w:rPr>
            </w:pPr>
          </w:p>
        </w:tc>
        <w:tc>
          <w:tcPr>
            <w:tcW w:w="849" w:type="dxa"/>
            <w:vAlign w:val="center"/>
          </w:tcPr>
          <w:p w14:paraId="5211061F">
            <w:pPr>
              <w:jc w:val="center"/>
              <w:rPr>
                <w:rFonts w:ascii="宋体"/>
                <w:sz w:val="24"/>
                <w:szCs w:val="24"/>
              </w:rPr>
            </w:pPr>
          </w:p>
        </w:tc>
        <w:tc>
          <w:tcPr>
            <w:tcW w:w="3808" w:type="dxa"/>
            <w:tcBorders>
              <w:right w:val="single" w:color="auto" w:sz="12" w:space="0"/>
            </w:tcBorders>
            <w:vAlign w:val="center"/>
          </w:tcPr>
          <w:p w14:paraId="749D0536">
            <w:pPr>
              <w:jc w:val="center"/>
              <w:rPr>
                <w:rFonts w:ascii="宋体"/>
                <w:sz w:val="24"/>
                <w:szCs w:val="24"/>
              </w:rPr>
            </w:pPr>
          </w:p>
        </w:tc>
      </w:tr>
      <w:tr w14:paraId="6EBFE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645696ED">
            <w:pPr>
              <w:widowControl/>
              <w:jc w:val="left"/>
              <w:rPr>
                <w:rFonts w:ascii="宋体"/>
                <w:sz w:val="24"/>
                <w:szCs w:val="24"/>
              </w:rPr>
            </w:pPr>
          </w:p>
        </w:tc>
        <w:tc>
          <w:tcPr>
            <w:tcW w:w="1804" w:type="dxa"/>
            <w:vAlign w:val="center"/>
          </w:tcPr>
          <w:p w14:paraId="5BE72BBC">
            <w:pPr>
              <w:jc w:val="center"/>
              <w:rPr>
                <w:rFonts w:ascii="宋体"/>
                <w:sz w:val="24"/>
                <w:szCs w:val="24"/>
              </w:rPr>
            </w:pPr>
            <w:r>
              <w:rPr>
                <w:rFonts w:hint="eastAsia" w:ascii="宋体" w:hAnsi="宋体" w:cs="宋体"/>
                <w:sz w:val="24"/>
                <w:szCs w:val="24"/>
              </w:rPr>
              <w:t>施工管理</w:t>
            </w:r>
          </w:p>
        </w:tc>
        <w:tc>
          <w:tcPr>
            <w:tcW w:w="849" w:type="dxa"/>
            <w:vAlign w:val="center"/>
          </w:tcPr>
          <w:p w14:paraId="68838EBE">
            <w:pPr>
              <w:jc w:val="center"/>
              <w:rPr>
                <w:rFonts w:ascii="宋体"/>
                <w:sz w:val="24"/>
                <w:szCs w:val="24"/>
              </w:rPr>
            </w:pPr>
          </w:p>
        </w:tc>
        <w:tc>
          <w:tcPr>
            <w:tcW w:w="849" w:type="dxa"/>
            <w:vAlign w:val="center"/>
          </w:tcPr>
          <w:p w14:paraId="7B68AD40">
            <w:pPr>
              <w:jc w:val="center"/>
              <w:rPr>
                <w:rFonts w:ascii="宋体"/>
                <w:sz w:val="24"/>
                <w:szCs w:val="24"/>
              </w:rPr>
            </w:pPr>
          </w:p>
        </w:tc>
        <w:tc>
          <w:tcPr>
            <w:tcW w:w="849" w:type="dxa"/>
            <w:vAlign w:val="center"/>
          </w:tcPr>
          <w:p w14:paraId="23358370">
            <w:pPr>
              <w:jc w:val="center"/>
              <w:rPr>
                <w:rFonts w:ascii="宋体"/>
                <w:sz w:val="24"/>
                <w:szCs w:val="24"/>
              </w:rPr>
            </w:pPr>
          </w:p>
        </w:tc>
        <w:tc>
          <w:tcPr>
            <w:tcW w:w="3808" w:type="dxa"/>
            <w:tcBorders>
              <w:right w:val="single" w:color="auto" w:sz="12" w:space="0"/>
            </w:tcBorders>
            <w:vAlign w:val="center"/>
          </w:tcPr>
          <w:p w14:paraId="23262DC4">
            <w:pPr>
              <w:jc w:val="center"/>
              <w:rPr>
                <w:rFonts w:ascii="宋体"/>
                <w:sz w:val="24"/>
                <w:szCs w:val="24"/>
              </w:rPr>
            </w:pPr>
          </w:p>
        </w:tc>
      </w:tr>
      <w:tr w14:paraId="1C6C2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0E2D1830">
            <w:pPr>
              <w:widowControl/>
              <w:jc w:val="left"/>
              <w:rPr>
                <w:rFonts w:ascii="宋体"/>
                <w:sz w:val="24"/>
                <w:szCs w:val="24"/>
              </w:rPr>
            </w:pPr>
          </w:p>
        </w:tc>
        <w:tc>
          <w:tcPr>
            <w:tcW w:w="1804" w:type="dxa"/>
            <w:vAlign w:val="center"/>
          </w:tcPr>
          <w:p w14:paraId="0F1F245D">
            <w:pPr>
              <w:jc w:val="center"/>
              <w:rPr>
                <w:rFonts w:ascii="宋体"/>
                <w:sz w:val="24"/>
                <w:szCs w:val="24"/>
              </w:rPr>
            </w:pPr>
            <w:r>
              <w:rPr>
                <w:rFonts w:hint="eastAsia" w:ascii="宋体" w:hAnsi="宋体" w:cs="宋体"/>
                <w:sz w:val="24"/>
                <w:szCs w:val="24"/>
              </w:rPr>
              <w:t>资料管理</w:t>
            </w:r>
          </w:p>
        </w:tc>
        <w:tc>
          <w:tcPr>
            <w:tcW w:w="849" w:type="dxa"/>
            <w:vAlign w:val="center"/>
          </w:tcPr>
          <w:p w14:paraId="4F5ECA2B">
            <w:pPr>
              <w:jc w:val="center"/>
              <w:rPr>
                <w:rFonts w:ascii="宋体"/>
                <w:sz w:val="24"/>
                <w:szCs w:val="24"/>
              </w:rPr>
            </w:pPr>
          </w:p>
        </w:tc>
        <w:tc>
          <w:tcPr>
            <w:tcW w:w="849" w:type="dxa"/>
            <w:vAlign w:val="center"/>
          </w:tcPr>
          <w:p w14:paraId="66F6ECE6">
            <w:pPr>
              <w:jc w:val="center"/>
              <w:rPr>
                <w:rFonts w:ascii="宋体"/>
                <w:sz w:val="24"/>
                <w:szCs w:val="24"/>
              </w:rPr>
            </w:pPr>
          </w:p>
        </w:tc>
        <w:tc>
          <w:tcPr>
            <w:tcW w:w="849" w:type="dxa"/>
            <w:vAlign w:val="center"/>
          </w:tcPr>
          <w:p w14:paraId="20AB52BF">
            <w:pPr>
              <w:jc w:val="center"/>
              <w:rPr>
                <w:rFonts w:ascii="宋体"/>
                <w:sz w:val="24"/>
                <w:szCs w:val="24"/>
              </w:rPr>
            </w:pPr>
          </w:p>
        </w:tc>
        <w:tc>
          <w:tcPr>
            <w:tcW w:w="3808" w:type="dxa"/>
            <w:tcBorders>
              <w:right w:val="single" w:color="auto" w:sz="12" w:space="0"/>
            </w:tcBorders>
            <w:vAlign w:val="center"/>
          </w:tcPr>
          <w:p w14:paraId="39B65A19">
            <w:pPr>
              <w:jc w:val="center"/>
              <w:rPr>
                <w:rFonts w:ascii="宋体"/>
                <w:sz w:val="24"/>
                <w:szCs w:val="24"/>
              </w:rPr>
            </w:pPr>
          </w:p>
        </w:tc>
      </w:tr>
      <w:tr w14:paraId="6A446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08275035">
            <w:pPr>
              <w:widowControl/>
              <w:jc w:val="left"/>
              <w:rPr>
                <w:rFonts w:ascii="宋体"/>
                <w:sz w:val="24"/>
                <w:szCs w:val="24"/>
              </w:rPr>
            </w:pPr>
          </w:p>
        </w:tc>
        <w:tc>
          <w:tcPr>
            <w:tcW w:w="1804" w:type="dxa"/>
            <w:vAlign w:val="center"/>
          </w:tcPr>
          <w:p w14:paraId="0E7DFC1A">
            <w:pPr>
              <w:jc w:val="center"/>
              <w:rPr>
                <w:rFonts w:ascii="宋体"/>
                <w:sz w:val="24"/>
                <w:szCs w:val="24"/>
              </w:rPr>
            </w:pPr>
            <w:r>
              <w:rPr>
                <w:rFonts w:hint="eastAsia" w:ascii="宋体" w:hAnsi="宋体" w:cs="宋体"/>
                <w:kern w:val="0"/>
                <w:sz w:val="24"/>
                <w:szCs w:val="24"/>
              </w:rPr>
              <w:t>材料管理</w:t>
            </w:r>
          </w:p>
        </w:tc>
        <w:tc>
          <w:tcPr>
            <w:tcW w:w="849" w:type="dxa"/>
            <w:vAlign w:val="center"/>
          </w:tcPr>
          <w:p w14:paraId="7BF70F70">
            <w:pPr>
              <w:jc w:val="center"/>
              <w:rPr>
                <w:rFonts w:ascii="宋体"/>
                <w:sz w:val="24"/>
                <w:szCs w:val="24"/>
              </w:rPr>
            </w:pPr>
          </w:p>
        </w:tc>
        <w:tc>
          <w:tcPr>
            <w:tcW w:w="849" w:type="dxa"/>
            <w:vAlign w:val="center"/>
          </w:tcPr>
          <w:p w14:paraId="012F526A">
            <w:pPr>
              <w:jc w:val="center"/>
              <w:rPr>
                <w:rFonts w:ascii="宋体"/>
                <w:sz w:val="24"/>
                <w:szCs w:val="24"/>
              </w:rPr>
            </w:pPr>
          </w:p>
        </w:tc>
        <w:tc>
          <w:tcPr>
            <w:tcW w:w="849" w:type="dxa"/>
            <w:vAlign w:val="center"/>
          </w:tcPr>
          <w:p w14:paraId="7F6F914F">
            <w:pPr>
              <w:jc w:val="center"/>
              <w:rPr>
                <w:rFonts w:ascii="宋体"/>
                <w:sz w:val="24"/>
                <w:szCs w:val="24"/>
              </w:rPr>
            </w:pPr>
          </w:p>
        </w:tc>
        <w:tc>
          <w:tcPr>
            <w:tcW w:w="3808" w:type="dxa"/>
            <w:tcBorders>
              <w:right w:val="single" w:color="auto" w:sz="12" w:space="0"/>
            </w:tcBorders>
            <w:vAlign w:val="center"/>
          </w:tcPr>
          <w:p w14:paraId="39F4794D">
            <w:pPr>
              <w:jc w:val="center"/>
              <w:rPr>
                <w:rFonts w:ascii="宋体"/>
                <w:sz w:val="24"/>
                <w:szCs w:val="24"/>
              </w:rPr>
            </w:pPr>
          </w:p>
        </w:tc>
      </w:tr>
      <w:tr w14:paraId="33B61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1176D2C7">
            <w:pPr>
              <w:widowControl/>
              <w:jc w:val="left"/>
              <w:rPr>
                <w:rFonts w:ascii="宋体"/>
                <w:sz w:val="24"/>
                <w:szCs w:val="24"/>
              </w:rPr>
            </w:pPr>
          </w:p>
        </w:tc>
        <w:tc>
          <w:tcPr>
            <w:tcW w:w="1804" w:type="dxa"/>
            <w:vAlign w:val="center"/>
          </w:tcPr>
          <w:p w14:paraId="18A7E9FE">
            <w:pPr>
              <w:jc w:val="center"/>
              <w:rPr>
                <w:rFonts w:ascii="宋体"/>
                <w:sz w:val="24"/>
                <w:szCs w:val="24"/>
              </w:rPr>
            </w:pPr>
          </w:p>
        </w:tc>
        <w:tc>
          <w:tcPr>
            <w:tcW w:w="849" w:type="dxa"/>
            <w:vAlign w:val="center"/>
          </w:tcPr>
          <w:p w14:paraId="78BABACE">
            <w:pPr>
              <w:jc w:val="center"/>
              <w:rPr>
                <w:rFonts w:ascii="宋体"/>
                <w:sz w:val="24"/>
                <w:szCs w:val="24"/>
              </w:rPr>
            </w:pPr>
          </w:p>
        </w:tc>
        <w:tc>
          <w:tcPr>
            <w:tcW w:w="849" w:type="dxa"/>
            <w:vAlign w:val="center"/>
          </w:tcPr>
          <w:p w14:paraId="57F0C7D7">
            <w:pPr>
              <w:jc w:val="center"/>
              <w:rPr>
                <w:rFonts w:ascii="宋体"/>
                <w:sz w:val="24"/>
                <w:szCs w:val="24"/>
              </w:rPr>
            </w:pPr>
          </w:p>
        </w:tc>
        <w:tc>
          <w:tcPr>
            <w:tcW w:w="849" w:type="dxa"/>
            <w:vAlign w:val="center"/>
          </w:tcPr>
          <w:p w14:paraId="0E45CEF8">
            <w:pPr>
              <w:jc w:val="center"/>
              <w:rPr>
                <w:rFonts w:ascii="宋体"/>
                <w:sz w:val="24"/>
                <w:szCs w:val="24"/>
              </w:rPr>
            </w:pPr>
          </w:p>
        </w:tc>
        <w:tc>
          <w:tcPr>
            <w:tcW w:w="3808" w:type="dxa"/>
            <w:tcBorders>
              <w:right w:val="single" w:color="auto" w:sz="12" w:space="0"/>
            </w:tcBorders>
            <w:vAlign w:val="center"/>
          </w:tcPr>
          <w:p w14:paraId="65C999D5">
            <w:pPr>
              <w:jc w:val="center"/>
              <w:rPr>
                <w:rFonts w:ascii="宋体"/>
                <w:sz w:val="24"/>
                <w:szCs w:val="24"/>
              </w:rPr>
            </w:pPr>
          </w:p>
        </w:tc>
      </w:tr>
      <w:tr w14:paraId="3178A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3812833F">
            <w:pPr>
              <w:widowControl/>
              <w:jc w:val="left"/>
              <w:rPr>
                <w:rFonts w:ascii="宋体"/>
                <w:sz w:val="24"/>
                <w:szCs w:val="24"/>
              </w:rPr>
            </w:pPr>
          </w:p>
        </w:tc>
        <w:tc>
          <w:tcPr>
            <w:tcW w:w="1804" w:type="dxa"/>
            <w:vAlign w:val="center"/>
          </w:tcPr>
          <w:p w14:paraId="51CCF489">
            <w:pPr>
              <w:jc w:val="center"/>
              <w:rPr>
                <w:rFonts w:ascii="宋体"/>
                <w:sz w:val="24"/>
                <w:szCs w:val="24"/>
              </w:rPr>
            </w:pPr>
          </w:p>
        </w:tc>
        <w:tc>
          <w:tcPr>
            <w:tcW w:w="849" w:type="dxa"/>
            <w:vAlign w:val="center"/>
          </w:tcPr>
          <w:p w14:paraId="20C02020">
            <w:pPr>
              <w:jc w:val="center"/>
              <w:rPr>
                <w:rFonts w:ascii="宋体"/>
                <w:sz w:val="24"/>
                <w:szCs w:val="24"/>
              </w:rPr>
            </w:pPr>
          </w:p>
        </w:tc>
        <w:tc>
          <w:tcPr>
            <w:tcW w:w="849" w:type="dxa"/>
            <w:vAlign w:val="center"/>
          </w:tcPr>
          <w:p w14:paraId="423F0957">
            <w:pPr>
              <w:jc w:val="center"/>
              <w:rPr>
                <w:rFonts w:ascii="宋体"/>
                <w:sz w:val="24"/>
                <w:szCs w:val="24"/>
              </w:rPr>
            </w:pPr>
          </w:p>
        </w:tc>
        <w:tc>
          <w:tcPr>
            <w:tcW w:w="849" w:type="dxa"/>
            <w:vAlign w:val="center"/>
          </w:tcPr>
          <w:p w14:paraId="5436F200">
            <w:pPr>
              <w:jc w:val="center"/>
              <w:rPr>
                <w:rFonts w:ascii="宋体"/>
                <w:sz w:val="24"/>
                <w:szCs w:val="24"/>
              </w:rPr>
            </w:pPr>
          </w:p>
        </w:tc>
        <w:tc>
          <w:tcPr>
            <w:tcW w:w="3808" w:type="dxa"/>
            <w:tcBorders>
              <w:right w:val="single" w:color="auto" w:sz="12" w:space="0"/>
            </w:tcBorders>
            <w:vAlign w:val="center"/>
          </w:tcPr>
          <w:p w14:paraId="136C3424">
            <w:pPr>
              <w:jc w:val="center"/>
              <w:rPr>
                <w:rFonts w:ascii="宋体"/>
                <w:sz w:val="24"/>
                <w:szCs w:val="24"/>
              </w:rPr>
            </w:pPr>
          </w:p>
        </w:tc>
      </w:tr>
      <w:tr w14:paraId="5C7B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46F94A53">
            <w:pPr>
              <w:widowControl/>
              <w:jc w:val="left"/>
              <w:rPr>
                <w:rFonts w:ascii="宋体"/>
                <w:sz w:val="24"/>
                <w:szCs w:val="24"/>
              </w:rPr>
            </w:pPr>
          </w:p>
        </w:tc>
        <w:tc>
          <w:tcPr>
            <w:tcW w:w="1804" w:type="dxa"/>
            <w:tcBorders>
              <w:bottom w:val="single" w:color="auto" w:sz="12" w:space="0"/>
            </w:tcBorders>
            <w:vAlign w:val="center"/>
          </w:tcPr>
          <w:p w14:paraId="732DA1F2">
            <w:pPr>
              <w:jc w:val="center"/>
              <w:rPr>
                <w:rFonts w:ascii="宋体"/>
                <w:sz w:val="24"/>
                <w:szCs w:val="24"/>
              </w:rPr>
            </w:pPr>
          </w:p>
        </w:tc>
        <w:tc>
          <w:tcPr>
            <w:tcW w:w="849" w:type="dxa"/>
            <w:tcBorders>
              <w:bottom w:val="single" w:color="auto" w:sz="12" w:space="0"/>
            </w:tcBorders>
            <w:vAlign w:val="center"/>
          </w:tcPr>
          <w:p w14:paraId="5D673563">
            <w:pPr>
              <w:jc w:val="center"/>
              <w:rPr>
                <w:rFonts w:ascii="宋体"/>
                <w:sz w:val="24"/>
                <w:szCs w:val="24"/>
              </w:rPr>
            </w:pPr>
          </w:p>
        </w:tc>
        <w:tc>
          <w:tcPr>
            <w:tcW w:w="849" w:type="dxa"/>
            <w:tcBorders>
              <w:bottom w:val="single" w:color="auto" w:sz="12" w:space="0"/>
            </w:tcBorders>
            <w:vAlign w:val="center"/>
          </w:tcPr>
          <w:p w14:paraId="1ED543CE">
            <w:pPr>
              <w:jc w:val="center"/>
              <w:rPr>
                <w:rFonts w:ascii="宋体"/>
                <w:sz w:val="24"/>
                <w:szCs w:val="24"/>
              </w:rPr>
            </w:pPr>
          </w:p>
        </w:tc>
        <w:tc>
          <w:tcPr>
            <w:tcW w:w="849" w:type="dxa"/>
            <w:tcBorders>
              <w:bottom w:val="single" w:color="auto" w:sz="12" w:space="0"/>
            </w:tcBorders>
            <w:vAlign w:val="center"/>
          </w:tcPr>
          <w:p w14:paraId="4666ACD1">
            <w:pPr>
              <w:jc w:val="center"/>
              <w:rPr>
                <w:rFonts w:ascii="宋体"/>
                <w:sz w:val="24"/>
                <w:szCs w:val="24"/>
              </w:rPr>
            </w:pPr>
          </w:p>
        </w:tc>
        <w:tc>
          <w:tcPr>
            <w:tcW w:w="3808" w:type="dxa"/>
            <w:tcBorders>
              <w:bottom w:val="single" w:color="auto" w:sz="12" w:space="0"/>
              <w:right w:val="single" w:color="auto" w:sz="12" w:space="0"/>
            </w:tcBorders>
            <w:vAlign w:val="center"/>
          </w:tcPr>
          <w:p w14:paraId="26CC05A7">
            <w:pPr>
              <w:jc w:val="center"/>
              <w:rPr>
                <w:rFonts w:ascii="宋体"/>
                <w:sz w:val="24"/>
                <w:szCs w:val="24"/>
              </w:rPr>
            </w:pPr>
          </w:p>
        </w:tc>
      </w:tr>
    </w:tbl>
    <w:p w14:paraId="49D870CE">
      <w:pPr>
        <w:spacing w:beforeLines="50" w:afterLines="50" w:line="440" w:lineRule="exact"/>
        <w:ind w:left="772" w:leftChars="100" w:hanging="562" w:hangingChars="200"/>
        <w:jc w:val="center"/>
        <w:rPr>
          <w:rFonts w:ascii="宋体"/>
          <w:b/>
          <w:bCs/>
          <w:sz w:val="28"/>
          <w:szCs w:val="28"/>
        </w:rPr>
        <w:sectPr>
          <w:headerReference r:id="rId7" w:type="default"/>
          <w:footerReference r:id="rId8" w:type="default"/>
          <w:pgSz w:w="11907" w:h="16840"/>
          <w:pgMar w:top="1440" w:right="1559" w:bottom="1440" w:left="1560" w:header="851" w:footer="851" w:gutter="0"/>
          <w:cols w:space="720" w:num="1"/>
          <w:docGrid w:linePitch="312" w:charSpace="0"/>
        </w:sectPr>
      </w:pPr>
    </w:p>
    <w:p w14:paraId="6B609711">
      <w:pPr>
        <w:rPr>
          <w:rFonts w:ascii="宋体"/>
          <w:b/>
          <w:bCs/>
          <w:sz w:val="28"/>
          <w:szCs w:val="28"/>
        </w:rPr>
      </w:pPr>
      <w:bookmarkStart w:id="169" w:name="_Toc428338812"/>
    </w:p>
    <w:bookmarkEnd w:id="169"/>
    <w:p w14:paraId="6AA1A571">
      <w:pPr>
        <w:pStyle w:val="3"/>
        <w:spacing w:line="480" w:lineRule="exact"/>
        <w:rPr>
          <w:rFonts w:ascii="宋体" w:hAnsi="宋体" w:eastAsia="宋体" w:cs="宋体"/>
          <w:b w:val="0"/>
          <w:bCs w:val="0"/>
          <w:sz w:val="30"/>
          <w:szCs w:val="30"/>
        </w:rPr>
      </w:pPr>
      <w:r>
        <w:rPr>
          <w:rFonts w:hint="eastAsia" w:ascii="宋体" w:hAnsi="宋体" w:eastAsia="宋体" w:cs="宋体"/>
          <w:b w:val="0"/>
          <w:bCs w:val="0"/>
          <w:sz w:val="28"/>
          <w:szCs w:val="28"/>
        </w:rPr>
        <w:t>附件</w:t>
      </w:r>
      <w:r>
        <w:rPr>
          <w:rFonts w:ascii="宋体" w:hAnsi="宋体" w:eastAsia="宋体" w:cs="宋体"/>
          <w:b w:val="0"/>
          <w:bCs w:val="0"/>
          <w:sz w:val="28"/>
          <w:szCs w:val="28"/>
        </w:rPr>
        <w:t>2</w:t>
      </w:r>
      <w:r>
        <w:rPr>
          <w:rFonts w:hint="eastAsia" w:ascii="宋体" w:hAnsi="宋体" w:eastAsia="宋体" w:cs="宋体"/>
          <w:b w:val="0"/>
          <w:bCs w:val="0"/>
          <w:sz w:val="30"/>
          <w:szCs w:val="30"/>
        </w:rPr>
        <w:t xml:space="preserve">                  诚信承诺书</w:t>
      </w:r>
    </w:p>
    <w:p w14:paraId="30E52B85">
      <w:pPr>
        <w:spacing w:line="480" w:lineRule="exact"/>
        <w:jc w:val="left"/>
        <w:textAlignment w:val="baseline"/>
        <w:rPr>
          <w:rFonts w:ascii="宋体"/>
          <w:sz w:val="24"/>
          <w:szCs w:val="24"/>
        </w:rPr>
      </w:pPr>
      <w:r>
        <w:rPr>
          <w:rFonts w:hint="eastAsia" w:ascii="宋体" w:hAnsi="宋体" w:cs="宋体"/>
          <w:sz w:val="24"/>
          <w:szCs w:val="24"/>
        </w:rPr>
        <w:t>致：</w:t>
      </w:r>
      <w:r>
        <w:rPr>
          <w:rFonts w:hint="eastAsia" w:ascii="宋体" w:hAnsi="宋体" w:cs="宋体"/>
          <w:sz w:val="24"/>
          <w:szCs w:val="24"/>
          <w:u w:val="single"/>
        </w:rPr>
        <w:t>（招标人名称）</w:t>
      </w:r>
    </w:p>
    <w:p w14:paraId="78E3C81F">
      <w:pPr>
        <w:spacing w:line="480" w:lineRule="exact"/>
        <w:ind w:firstLine="960" w:firstLineChars="400"/>
        <w:jc w:val="left"/>
        <w:textAlignment w:val="baseline"/>
        <w:rPr>
          <w:rFonts w:ascii="宋体"/>
          <w:sz w:val="24"/>
          <w:szCs w:val="24"/>
        </w:rPr>
      </w:pPr>
      <w:r>
        <w:rPr>
          <w:rFonts w:hint="eastAsia" w:ascii="宋体" w:hAnsi="宋体" w:cs="宋体"/>
          <w:sz w:val="24"/>
          <w:szCs w:val="24"/>
        </w:rPr>
        <w:t>（投标人全称）参与投标，我单位愿意作出以下承诺：</w:t>
      </w:r>
    </w:p>
    <w:p w14:paraId="54EC7010">
      <w:pPr>
        <w:spacing w:line="480" w:lineRule="exact"/>
        <w:ind w:firstLine="480" w:firstLineChars="200"/>
        <w:jc w:val="left"/>
        <w:textAlignment w:val="baseline"/>
        <w:rPr>
          <w:rFonts w:ascii="宋体"/>
          <w:sz w:val="24"/>
          <w:szCs w:val="24"/>
        </w:rPr>
      </w:pPr>
      <w:r>
        <w:rPr>
          <w:rFonts w:ascii="宋体" w:hAnsi="宋体" w:cs="宋体"/>
          <w:sz w:val="24"/>
          <w:szCs w:val="24"/>
        </w:rPr>
        <w:t>1</w:t>
      </w:r>
      <w:r>
        <w:rPr>
          <w:rFonts w:hint="eastAsia" w:ascii="宋体" w:hAnsi="宋体" w:cs="宋体"/>
          <w:sz w:val="24"/>
          <w:szCs w:val="24"/>
        </w:rPr>
        <w:t>、投标人诚信承诺书非本单位法定代表人签发的，承诺内容不实的，一经查实，愿意按弄虚作假、提供虚假材料情况对待，列入不良行为记录，并自愿接受禁止在通州</w:t>
      </w:r>
      <w:r>
        <w:rPr>
          <w:rFonts w:ascii="宋体" w:hAnsi="宋体" w:cs="宋体"/>
          <w:sz w:val="24"/>
          <w:szCs w:val="24"/>
        </w:rPr>
        <w:t>1—3</w:t>
      </w:r>
      <w:r>
        <w:rPr>
          <w:rFonts w:hint="eastAsia" w:ascii="宋体" w:hAnsi="宋体" w:cs="宋体"/>
          <w:sz w:val="24"/>
          <w:szCs w:val="24"/>
        </w:rPr>
        <w:t>年投标资格等行政惩处，对违反承诺内容所引发的一切后果，我单位愿负法律责任。</w:t>
      </w:r>
    </w:p>
    <w:p w14:paraId="16A5DDCC">
      <w:pPr>
        <w:spacing w:line="480" w:lineRule="exact"/>
        <w:ind w:firstLine="480" w:firstLineChars="200"/>
        <w:jc w:val="left"/>
        <w:textAlignment w:val="baseline"/>
        <w:rPr>
          <w:rFonts w:ascii="宋体"/>
          <w:sz w:val="24"/>
          <w:szCs w:val="24"/>
        </w:rPr>
      </w:pPr>
      <w:r>
        <w:rPr>
          <w:rFonts w:ascii="宋体" w:hAnsi="宋体" w:cs="宋体"/>
          <w:sz w:val="24"/>
          <w:szCs w:val="24"/>
        </w:rPr>
        <w:t>2</w:t>
      </w:r>
      <w:r>
        <w:rPr>
          <w:rFonts w:hint="eastAsia" w:ascii="宋体" w:hAnsi="宋体" w:cs="宋体"/>
          <w:sz w:val="24"/>
          <w:szCs w:val="24"/>
        </w:rPr>
        <w:t>、我单位参与本工程投标，提交的投标文件真实可信。证件及有关附件是真实的，复印件与原件是一致的，绝无借资质、挂靠、提供虚假材料等违规现象；</w:t>
      </w:r>
    </w:p>
    <w:p w14:paraId="347C2985">
      <w:pPr>
        <w:spacing w:line="480" w:lineRule="exact"/>
        <w:ind w:firstLine="480" w:firstLineChars="200"/>
        <w:jc w:val="left"/>
        <w:textAlignment w:val="baseline"/>
        <w:rPr>
          <w:rFonts w:ascii="宋体"/>
          <w:sz w:val="24"/>
          <w:szCs w:val="24"/>
        </w:rPr>
      </w:pPr>
      <w:r>
        <w:rPr>
          <w:rFonts w:ascii="宋体" w:hAnsi="宋体" w:cs="宋体"/>
          <w:sz w:val="24"/>
          <w:szCs w:val="24"/>
        </w:rPr>
        <w:t>3</w:t>
      </w:r>
      <w:r>
        <w:rPr>
          <w:rFonts w:hint="eastAsia" w:ascii="宋体" w:hAnsi="宋体" w:cs="宋体"/>
          <w:sz w:val="24"/>
          <w:szCs w:val="24"/>
        </w:rPr>
        <w:t>．我单位不参与任何串标围标等违法活动；</w:t>
      </w:r>
    </w:p>
    <w:p w14:paraId="183DE36F">
      <w:pPr>
        <w:spacing w:line="480" w:lineRule="exact"/>
        <w:ind w:firstLine="480" w:firstLineChars="200"/>
        <w:jc w:val="left"/>
        <w:textAlignment w:val="baseline"/>
        <w:rPr>
          <w:rFonts w:ascii="宋体"/>
          <w:sz w:val="24"/>
          <w:szCs w:val="24"/>
        </w:rPr>
      </w:pPr>
      <w:r>
        <w:rPr>
          <w:rFonts w:ascii="宋体" w:hAnsi="宋体" w:cs="宋体"/>
          <w:sz w:val="24"/>
          <w:szCs w:val="24"/>
        </w:rPr>
        <w:t>4..</w:t>
      </w:r>
      <w:r>
        <w:rPr>
          <w:rFonts w:hint="eastAsia" w:ascii="宋体" w:hAnsi="宋体" w:cs="宋体"/>
          <w:sz w:val="24"/>
          <w:szCs w:val="24"/>
        </w:rPr>
        <w:t>若我单位未能兑现以上承诺，愿意接受投标保证金不予退还的处理；</w:t>
      </w:r>
    </w:p>
    <w:p w14:paraId="0A343463">
      <w:pPr>
        <w:spacing w:line="480" w:lineRule="exact"/>
        <w:ind w:firstLine="480"/>
        <w:rPr>
          <w:rFonts w:ascii="宋体"/>
          <w:sz w:val="24"/>
          <w:szCs w:val="24"/>
        </w:rPr>
      </w:pPr>
      <w:r>
        <w:rPr>
          <w:rFonts w:ascii="宋体" w:hAnsi="宋体" w:cs="宋体"/>
          <w:sz w:val="24"/>
          <w:szCs w:val="24"/>
        </w:rPr>
        <w:t>5.</w:t>
      </w:r>
      <w:r>
        <w:rPr>
          <w:rFonts w:hint="eastAsia" w:ascii="宋体" w:hAnsi="宋体" w:cs="宋体"/>
          <w:sz w:val="24"/>
          <w:szCs w:val="24"/>
        </w:rPr>
        <w:t>我单位遵守国家廉政相关规定，无失信、行贿等不良行为；</w:t>
      </w:r>
    </w:p>
    <w:p w14:paraId="296EBFD6">
      <w:pPr>
        <w:spacing w:line="480" w:lineRule="exact"/>
        <w:ind w:firstLine="480" w:firstLineChars="200"/>
        <w:jc w:val="left"/>
        <w:textAlignment w:val="baseline"/>
        <w:rPr>
          <w:rFonts w:ascii="宋体"/>
          <w:sz w:val="24"/>
          <w:szCs w:val="24"/>
        </w:rPr>
      </w:pPr>
      <w:r>
        <w:rPr>
          <w:rFonts w:ascii="宋体" w:hAnsi="宋体" w:cs="宋体"/>
          <w:sz w:val="24"/>
          <w:szCs w:val="24"/>
        </w:rPr>
        <w:t>6.</w:t>
      </w:r>
      <w:r>
        <w:rPr>
          <w:rFonts w:hint="eastAsia" w:ascii="宋体" w:hAnsi="宋体" w:cs="宋体"/>
          <w:sz w:val="24"/>
          <w:szCs w:val="24"/>
        </w:rPr>
        <w:t>我单位自</w:t>
      </w:r>
      <w:r>
        <w:rPr>
          <w:rFonts w:ascii="宋体" w:hAnsi="宋体" w:cs="宋体"/>
          <w:sz w:val="24"/>
          <w:szCs w:val="24"/>
        </w:rPr>
        <w:t>20</w:t>
      </w:r>
      <w:r>
        <w:rPr>
          <w:rFonts w:hint="eastAsia" w:ascii="宋体" w:hAnsi="宋体" w:cs="宋体"/>
          <w:sz w:val="24"/>
          <w:szCs w:val="24"/>
        </w:rPr>
        <w:t>21年2月</w:t>
      </w:r>
      <w:r>
        <w:rPr>
          <w:rFonts w:ascii="宋体" w:hAnsi="宋体" w:cs="宋体"/>
          <w:sz w:val="24"/>
          <w:szCs w:val="24"/>
        </w:rPr>
        <w:t>1</w:t>
      </w:r>
      <w:r>
        <w:rPr>
          <w:rFonts w:hint="eastAsia" w:ascii="宋体" w:hAnsi="宋体" w:cs="宋体"/>
          <w:sz w:val="24"/>
          <w:szCs w:val="24"/>
        </w:rPr>
        <w:t>日以来，企业和拟派项目负责人没有因串通投标、弄虚作假、以他人名义投标、骗取中标、转包、违法分包等违法行为受到建设等有关部门行政处罚的行为；自</w:t>
      </w:r>
      <w:r>
        <w:rPr>
          <w:rFonts w:ascii="宋体" w:hAnsi="宋体" w:cs="宋体"/>
          <w:sz w:val="24"/>
          <w:szCs w:val="24"/>
        </w:rPr>
        <w:t>20</w:t>
      </w:r>
      <w:r>
        <w:rPr>
          <w:rFonts w:hint="eastAsia" w:ascii="宋体" w:hAnsi="宋体" w:cs="宋体"/>
          <w:sz w:val="24"/>
          <w:szCs w:val="24"/>
        </w:rPr>
        <w:t>21年2月</w:t>
      </w:r>
      <w:r>
        <w:rPr>
          <w:rFonts w:ascii="宋体" w:hAnsi="宋体" w:cs="宋体"/>
          <w:sz w:val="24"/>
          <w:szCs w:val="24"/>
        </w:rPr>
        <w:t>1</w:t>
      </w:r>
      <w:r>
        <w:rPr>
          <w:rFonts w:hint="eastAsia" w:ascii="宋体" w:hAnsi="宋体" w:cs="宋体"/>
          <w:sz w:val="24"/>
          <w:szCs w:val="24"/>
        </w:rPr>
        <w:t>日以来，企业没有无正当理由放弃中标资格（不含项目负责人多投多中后放弃）、不与招标人订立合同、拒不提供履约担保的情形；自</w:t>
      </w:r>
      <w:r>
        <w:rPr>
          <w:rFonts w:ascii="宋体" w:hAnsi="宋体" w:cs="宋体"/>
          <w:sz w:val="24"/>
          <w:szCs w:val="24"/>
        </w:rPr>
        <w:t>20</w:t>
      </w:r>
      <w:r>
        <w:rPr>
          <w:rFonts w:hint="eastAsia" w:ascii="宋体" w:hAnsi="宋体" w:cs="宋体"/>
          <w:sz w:val="24"/>
          <w:szCs w:val="24"/>
        </w:rPr>
        <w:t>21年2月</w:t>
      </w:r>
      <w:r>
        <w:rPr>
          <w:rFonts w:ascii="宋体" w:hAnsi="宋体" w:cs="宋体"/>
          <w:sz w:val="24"/>
          <w:szCs w:val="24"/>
        </w:rPr>
        <w:t>1</w:t>
      </w:r>
      <w:r>
        <w:rPr>
          <w:rFonts w:hint="eastAsia" w:ascii="宋体" w:hAnsi="宋体" w:cs="宋体"/>
          <w:sz w:val="24"/>
          <w:szCs w:val="24"/>
        </w:rPr>
        <w:t>日以来，企业没有因拖欠工人工资被招标项目所在地省、市、县（市、区）建设行政主管部门通报批评的情况；</w:t>
      </w:r>
    </w:p>
    <w:p w14:paraId="5C3167D0">
      <w:pPr>
        <w:spacing w:line="480" w:lineRule="exact"/>
        <w:ind w:firstLine="480"/>
        <w:rPr>
          <w:rFonts w:ascii="宋体"/>
          <w:sz w:val="24"/>
          <w:szCs w:val="24"/>
        </w:rPr>
      </w:pPr>
      <w:r>
        <w:rPr>
          <w:rFonts w:ascii="宋体" w:hAnsi="宋体" w:cs="宋体"/>
          <w:sz w:val="24"/>
          <w:szCs w:val="24"/>
        </w:rPr>
        <w:t>7.</w:t>
      </w:r>
      <w:r>
        <w:rPr>
          <w:rFonts w:hint="eastAsia" w:ascii="宋体" w:hAnsi="宋体" w:cs="宋体"/>
          <w:sz w:val="24"/>
          <w:szCs w:val="24"/>
        </w:rPr>
        <w:t>如中标，我单位将委派本公司所属的正式队伍进场施工；</w:t>
      </w:r>
    </w:p>
    <w:p w14:paraId="4EADA8F6">
      <w:pPr>
        <w:spacing w:line="480" w:lineRule="exact"/>
        <w:ind w:firstLine="480" w:firstLineChars="200"/>
        <w:jc w:val="left"/>
        <w:textAlignment w:val="baseline"/>
        <w:rPr>
          <w:rFonts w:ascii="宋体"/>
          <w:sz w:val="24"/>
          <w:szCs w:val="24"/>
        </w:rPr>
      </w:pPr>
      <w:r>
        <w:rPr>
          <w:rFonts w:ascii="宋体" w:hAnsi="宋体" w:cs="宋体"/>
          <w:sz w:val="24"/>
          <w:szCs w:val="24"/>
        </w:rPr>
        <w:t>8.</w:t>
      </w:r>
      <w:r>
        <w:rPr>
          <w:rFonts w:hint="eastAsia" w:ascii="宋体" w:hAnsi="宋体" w:cs="宋体"/>
          <w:sz w:val="24"/>
          <w:szCs w:val="24"/>
        </w:rPr>
        <w:t>如中标，我单位将按照投标文件中委派的项目负责人、五大员及时到位，且全面负责工作；</w:t>
      </w:r>
    </w:p>
    <w:p w14:paraId="771FA417">
      <w:pPr>
        <w:spacing w:line="480" w:lineRule="exact"/>
        <w:ind w:firstLine="480" w:firstLineChars="200"/>
        <w:jc w:val="left"/>
        <w:textAlignment w:val="baseline"/>
        <w:rPr>
          <w:rFonts w:ascii="宋体"/>
          <w:sz w:val="24"/>
          <w:szCs w:val="24"/>
        </w:rPr>
      </w:pPr>
      <w:r>
        <w:rPr>
          <w:rFonts w:ascii="宋体" w:hAnsi="宋体" w:cs="宋体"/>
          <w:sz w:val="24"/>
          <w:szCs w:val="24"/>
        </w:rPr>
        <w:t>9.</w:t>
      </w:r>
      <w:r>
        <w:rPr>
          <w:rFonts w:hint="eastAsia" w:ascii="宋体" w:hAnsi="宋体" w:cs="宋体"/>
          <w:sz w:val="24"/>
          <w:szCs w:val="24"/>
        </w:rPr>
        <w:t>如中标，我单位将按照投标文件中承诺配备的主要施工机械设备及时进场，且投入正常的生产。</w:t>
      </w:r>
    </w:p>
    <w:p w14:paraId="5AC83A34">
      <w:pPr>
        <w:spacing w:line="480" w:lineRule="exact"/>
        <w:ind w:firstLine="3960" w:firstLineChars="1650"/>
        <w:jc w:val="left"/>
        <w:textAlignment w:val="baseline"/>
        <w:rPr>
          <w:rFonts w:ascii="宋体"/>
          <w:sz w:val="24"/>
          <w:szCs w:val="24"/>
        </w:rPr>
      </w:pPr>
      <w:r>
        <w:rPr>
          <w:rFonts w:hint="eastAsia" w:ascii="宋体" w:hAnsi="宋体" w:cs="宋体"/>
          <w:sz w:val="24"/>
          <w:szCs w:val="24"/>
        </w:rPr>
        <w:t>投标人（单位盖章）：</w:t>
      </w:r>
    </w:p>
    <w:p w14:paraId="26C1B780">
      <w:pPr>
        <w:spacing w:line="480" w:lineRule="exact"/>
        <w:ind w:firstLine="3960" w:firstLineChars="1650"/>
        <w:jc w:val="left"/>
        <w:textAlignment w:val="baseline"/>
        <w:rPr>
          <w:rFonts w:ascii="宋体"/>
          <w:sz w:val="24"/>
          <w:szCs w:val="24"/>
        </w:rPr>
      </w:pPr>
      <w:r>
        <w:rPr>
          <w:rFonts w:hint="eastAsia" w:ascii="宋体" w:hAnsi="宋体" w:cs="宋体"/>
          <w:sz w:val="24"/>
          <w:szCs w:val="24"/>
        </w:rPr>
        <w:t>法定代表人（签字）：</w:t>
      </w:r>
    </w:p>
    <w:p w14:paraId="315BC857">
      <w:pPr>
        <w:spacing w:line="480" w:lineRule="exact"/>
        <w:ind w:firstLine="4800" w:firstLineChars="2000"/>
        <w:textAlignment w:val="baseline"/>
        <w:rPr>
          <w:rFonts w:ascii="Calibri" w:hAnsi="Calibri" w:cs="Calibri"/>
        </w:rPr>
      </w:pPr>
      <w:r>
        <w:rPr>
          <w:rFonts w:hint="eastAsia" w:ascii="宋体" w:hAnsi="宋体" w:cs="宋体"/>
          <w:sz w:val="24"/>
          <w:szCs w:val="24"/>
        </w:rPr>
        <w:t>年月日</w:t>
      </w:r>
    </w:p>
    <w:p w14:paraId="182FC9AC">
      <w:pPr>
        <w:snapToGrid w:val="0"/>
        <w:spacing w:line="360" w:lineRule="auto"/>
        <w:rPr>
          <w:rFonts w:ascii="宋体" w:hAnsi="宋体" w:cs="宋体"/>
        </w:rPr>
      </w:pPr>
    </w:p>
    <w:p w14:paraId="66C46659">
      <w:pPr>
        <w:snapToGrid w:val="0"/>
        <w:spacing w:line="360" w:lineRule="auto"/>
        <w:jc w:val="both"/>
        <w:rPr>
          <w:rFonts w:ascii="宋体"/>
          <w:b/>
          <w:bCs/>
          <w:sz w:val="32"/>
          <w:szCs w:val="32"/>
        </w:rPr>
      </w:pPr>
    </w:p>
    <w:sectPr>
      <w:pgSz w:w="11907" w:h="16840"/>
      <w:pgMar w:top="1440" w:right="1559" w:bottom="1440" w:left="156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Futura Bk">
    <w:altName w:val="Arial"/>
    <w:panose1 w:val="00000000000000000000"/>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MS Mincho">
    <w:panose1 w:val="02020609040205080304"/>
    <w:charset w:val="80"/>
    <w:family w:val="modern"/>
    <w:pitch w:val="default"/>
    <w:sig w:usb0="A00002BF" w:usb1="68C7FCFB" w:usb2="00000010" w:usb3="00000000" w:csb0="4002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066E7">
    <w:pPr>
      <w:pStyle w:val="35"/>
      <w:framePr w:wrap="around" w:vAnchor="text" w:hAnchor="margin" w:xAlign="center" w:y="1"/>
      <w:rPr>
        <w:rStyle w:val="58"/>
      </w:rPr>
    </w:pPr>
    <w:r>
      <w:rPr>
        <w:rStyle w:val="58"/>
      </w:rPr>
      <w:fldChar w:fldCharType="begin"/>
    </w:r>
    <w:r>
      <w:rPr>
        <w:rStyle w:val="58"/>
      </w:rPr>
      <w:instrText xml:space="preserve">PAGE  </w:instrText>
    </w:r>
    <w:r>
      <w:rPr>
        <w:rStyle w:val="58"/>
      </w:rPr>
      <w:fldChar w:fldCharType="separate"/>
    </w:r>
    <w:r>
      <w:rPr>
        <w:rStyle w:val="58"/>
      </w:rPr>
      <w:t>2</w:t>
    </w:r>
    <w:r>
      <w:rPr>
        <w:rStyle w:val="58"/>
      </w:rPr>
      <w:fldChar w:fldCharType="end"/>
    </w:r>
  </w:p>
  <w:p w14:paraId="4307F7A1">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0CAA9D">
    <w:pPr>
      <w:pStyle w:val="35"/>
    </w:pPr>
  </w:p>
  <w:p w14:paraId="4C36EBAF"/>
  <w:p w14:paraId="14DD1BEE">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08388">
    <w:pPr>
      <w:pStyle w:val="35"/>
      <w:framePr w:wrap="around" w:vAnchor="text" w:hAnchor="margin" w:xAlign="center" w:y="1"/>
      <w:rPr>
        <w:rStyle w:val="58"/>
      </w:rPr>
    </w:pPr>
    <w:r>
      <w:rPr>
        <w:rStyle w:val="58"/>
      </w:rPr>
      <w:fldChar w:fldCharType="begin"/>
    </w:r>
    <w:r>
      <w:rPr>
        <w:rStyle w:val="58"/>
      </w:rPr>
      <w:instrText xml:space="preserve">PAGE  </w:instrText>
    </w:r>
    <w:r>
      <w:rPr>
        <w:rStyle w:val="58"/>
      </w:rPr>
      <w:fldChar w:fldCharType="separate"/>
    </w:r>
    <w:r>
      <w:rPr>
        <w:rStyle w:val="58"/>
      </w:rPr>
      <w:t>19</w:t>
    </w:r>
    <w:r>
      <w:rPr>
        <w:rStyle w:val="58"/>
      </w:rPr>
      <w:fldChar w:fldCharType="end"/>
    </w:r>
  </w:p>
  <w:p w14:paraId="15EE4D2A">
    <w:pPr>
      <w:pStyle w:val="3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EEEA0">
    <w:pPr>
      <w:ind w:firstLine="4515" w:firstLineChars="2150"/>
    </w:pPr>
    <w:r>
      <w:fldChar w:fldCharType="begin"/>
    </w:r>
    <w:r>
      <w:instrText xml:space="preserve"> PAGE   \* MERGEFORMAT </w:instrText>
    </w:r>
    <w:r>
      <w:fldChar w:fldCharType="separate"/>
    </w:r>
    <w:r>
      <w:rPr>
        <w:lang w:val="zh-CN"/>
      </w:rPr>
      <w:t>52</w:t>
    </w:r>
    <w:r>
      <w:rPr>
        <w:lang w:val="zh-CN"/>
      </w:rPr>
      <w:fldChar w:fldCharType="end"/>
    </w:r>
  </w:p>
  <w:p w14:paraId="654528CF">
    <w:pPr>
      <w:pStyle w:val="3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476EB">
    <w:pPr>
      <w:pStyle w:val="3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EAD0D">
    <w:pPr>
      <w:pStyle w:val="36"/>
      <w:pBdr>
        <w:bottom w:val="none" w:color="auto" w:sz="0" w:space="0"/>
      </w:pBdr>
      <w:jc w:val="both"/>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033360"/>
    <w:multiLevelType w:val="singleLevel"/>
    <w:tmpl w:val="D3033360"/>
    <w:lvl w:ilvl="0" w:tentative="0">
      <w:start w:val="1"/>
      <w:numFmt w:val="decimal"/>
      <w:suff w:val="nothing"/>
      <w:lvlText w:val="（%1）"/>
      <w:lvlJc w:val="left"/>
    </w:lvl>
  </w:abstractNum>
  <w:abstractNum w:abstractNumId="1">
    <w:nsid w:val="45C02500"/>
    <w:multiLevelType w:val="multilevel"/>
    <w:tmpl w:val="45C02500"/>
    <w:lvl w:ilvl="0" w:tentative="0">
      <w:start w:val="1"/>
      <w:numFmt w:val="japaneseCounting"/>
      <w:lvlText w:val="第%1章"/>
      <w:lvlJc w:val="left"/>
      <w:pPr>
        <w:ind w:left="1440" w:hanging="1440"/>
      </w:pPr>
      <w:rPr>
        <w:rFonts w:hint="default" w:cs="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4FB4E19"/>
    <w:multiLevelType w:val="multilevel"/>
    <w:tmpl w:val="64FB4E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hideSpellingErrors/>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1N2QyMTFkMDdiYzljZTE0OGRmMGJjMjdlM2Q4ZjMifQ=="/>
  </w:docVars>
  <w:rsids>
    <w:rsidRoot w:val="00172A27"/>
    <w:rsid w:val="0000000B"/>
    <w:rsid w:val="0000097B"/>
    <w:rsid w:val="000023F5"/>
    <w:rsid w:val="000038B1"/>
    <w:rsid w:val="00003D84"/>
    <w:rsid w:val="00003FDF"/>
    <w:rsid w:val="000040C2"/>
    <w:rsid w:val="00004851"/>
    <w:rsid w:val="00004ABD"/>
    <w:rsid w:val="0000593C"/>
    <w:rsid w:val="00005999"/>
    <w:rsid w:val="00006099"/>
    <w:rsid w:val="000067FE"/>
    <w:rsid w:val="00006DE0"/>
    <w:rsid w:val="0000778A"/>
    <w:rsid w:val="000078A4"/>
    <w:rsid w:val="00010091"/>
    <w:rsid w:val="0001053A"/>
    <w:rsid w:val="00010A11"/>
    <w:rsid w:val="00010DE6"/>
    <w:rsid w:val="00011143"/>
    <w:rsid w:val="000129D5"/>
    <w:rsid w:val="00012D7F"/>
    <w:rsid w:val="000134E2"/>
    <w:rsid w:val="000139DA"/>
    <w:rsid w:val="00013FA8"/>
    <w:rsid w:val="00014638"/>
    <w:rsid w:val="00014886"/>
    <w:rsid w:val="00015137"/>
    <w:rsid w:val="00016667"/>
    <w:rsid w:val="00017218"/>
    <w:rsid w:val="00017DB9"/>
    <w:rsid w:val="00020A0C"/>
    <w:rsid w:val="00020B24"/>
    <w:rsid w:val="00020E89"/>
    <w:rsid w:val="00021402"/>
    <w:rsid w:val="00021485"/>
    <w:rsid w:val="00021CF3"/>
    <w:rsid w:val="00023B0E"/>
    <w:rsid w:val="00023C6B"/>
    <w:rsid w:val="00023DDC"/>
    <w:rsid w:val="00023F4A"/>
    <w:rsid w:val="000240A1"/>
    <w:rsid w:val="0002453F"/>
    <w:rsid w:val="00025164"/>
    <w:rsid w:val="00025BA1"/>
    <w:rsid w:val="000265C6"/>
    <w:rsid w:val="000269C2"/>
    <w:rsid w:val="00026EF5"/>
    <w:rsid w:val="00026F77"/>
    <w:rsid w:val="00027B24"/>
    <w:rsid w:val="00027D71"/>
    <w:rsid w:val="000300BF"/>
    <w:rsid w:val="000309A2"/>
    <w:rsid w:val="00031823"/>
    <w:rsid w:val="00031F64"/>
    <w:rsid w:val="00032409"/>
    <w:rsid w:val="000328B3"/>
    <w:rsid w:val="00032917"/>
    <w:rsid w:val="00032A66"/>
    <w:rsid w:val="00032D7D"/>
    <w:rsid w:val="00032EC2"/>
    <w:rsid w:val="00033BF8"/>
    <w:rsid w:val="00034A81"/>
    <w:rsid w:val="000350EF"/>
    <w:rsid w:val="00035965"/>
    <w:rsid w:val="00036147"/>
    <w:rsid w:val="0003686F"/>
    <w:rsid w:val="00037851"/>
    <w:rsid w:val="0004098D"/>
    <w:rsid w:val="00040D4B"/>
    <w:rsid w:val="00041037"/>
    <w:rsid w:val="00041685"/>
    <w:rsid w:val="00041967"/>
    <w:rsid w:val="00041AE7"/>
    <w:rsid w:val="00042390"/>
    <w:rsid w:val="000429C8"/>
    <w:rsid w:val="00042CE9"/>
    <w:rsid w:val="00042D35"/>
    <w:rsid w:val="00043702"/>
    <w:rsid w:val="00044294"/>
    <w:rsid w:val="00044C9D"/>
    <w:rsid w:val="000453DA"/>
    <w:rsid w:val="00045920"/>
    <w:rsid w:val="00045A43"/>
    <w:rsid w:val="000460BE"/>
    <w:rsid w:val="000461A2"/>
    <w:rsid w:val="00046DAC"/>
    <w:rsid w:val="00050F2A"/>
    <w:rsid w:val="000510FF"/>
    <w:rsid w:val="00052EE4"/>
    <w:rsid w:val="000532C6"/>
    <w:rsid w:val="0005381B"/>
    <w:rsid w:val="00054156"/>
    <w:rsid w:val="0005421D"/>
    <w:rsid w:val="000542EC"/>
    <w:rsid w:val="00054CDC"/>
    <w:rsid w:val="000553E0"/>
    <w:rsid w:val="00055B81"/>
    <w:rsid w:val="00055E24"/>
    <w:rsid w:val="00056719"/>
    <w:rsid w:val="00060710"/>
    <w:rsid w:val="00060FC0"/>
    <w:rsid w:val="00061719"/>
    <w:rsid w:val="00062126"/>
    <w:rsid w:val="00062228"/>
    <w:rsid w:val="0006327E"/>
    <w:rsid w:val="00063885"/>
    <w:rsid w:val="000641A6"/>
    <w:rsid w:val="000645E5"/>
    <w:rsid w:val="0006564C"/>
    <w:rsid w:val="00065B64"/>
    <w:rsid w:val="000668C2"/>
    <w:rsid w:val="00066C51"/>
    <w:rsid w:val="0006746D"/>
    <w:rsid w:val="00067EB2"/>
    <w:rsid w:val="000702DE"/>
    <w:rsid w:val="0007047E"/>
    <w:rsid w:val="00070BC9"/>
    <w:rsid w:val="00070DA3"/>
    <w:rsid w:val="00071082"/>
    <w:rsid w:val="00071152"/>
    <w:rsid w:val="00071A00"/>
    <w:rsid w:val="00071A6C"/>
    <w:rsid w:val="00072AB3"/>
    <w:rsid w:val="00072C24"/>
    <w:rsid w:val="00072E9F"/>
    <w:rsid w:val="00073561"/>
    <w:rsid w:val="00073F9D"/>
    <w:rsid w:val="00074281"/>
    <w:rsid w:val="00074B54"/>
    <w:rsid w:val="0007508A"/>
    <w:rsid w:val="00076585"/>
    <w:rsid w:val="0007682A"/>
    <w:rsid w:val="00076918"/>
    <w:rsid w:val="00076F99"/>
    <w:rsid w:val="00077358"/>
    <w:rsid w:val="00077476"/>
    <w:rsid w:val="00077BEF"/>
    <w:rsid w:val="00077F0A"/>
    <w:rsid w:val="000801E6"/>
    <w:rsid w:val="000804D9"/>
    <w:rsid w:val="00080682"/>
    <w:rsid w:val="000808B0"/>
    <w:rsid w:val="000810FA"/>
    <w:rsid w:val="00081335"/>
    <w:rsid w:val="00081F45"/>
    <w:rsid w:val="00081F7D"/>
    <w:rsid w:val="00082012"/>
    <w:rsid w:val="00084CBE"/>
    <w:rsid w:val="0008546B"/>
    <w:rsid w:val="000868C5"/>
    <w:rsid w:val="00086DF5"/>
    <w:rsid w:val="00087473"/>
    <w:rsid w:val="0008748F"/>
    <w:rsid w:val="000904A6"/>
    <w:rsid w:val="00090D51"/>
    <w:rsid w:val="00091126"/>
    <w:rsid w:val="00091999"/>
    <w:rsid w:val="00091A47"/>
    <w:rsid w:val="00091F89"/>
    <w:rsid w:val="00092C5B"/>
    <w:rsid w:val="00092DD2"/>
    <w:rsid w:val="00092E16"/>
    <w:rsid w:val="00092E8A"/>
    <w:rsid w:val="00093406"/>
    <w:rsid w:val="0009361A"/>
    <w:rsid w:val="00093BED"/>
    <w:rsid w:val="00094C7F"/>
    <w:rsid w:val="00094CF0"/>
    <w:rsid w:val="00095A7B"/>
    <w:rsid w:val="00095D13"/>
    <w:rsid w:val="00096CCE"/>
    <w:rsid w:val="00097B6B"/>
    <w:rsid w:val="00097D44"/>
    <w:rsid w:val="000A08CF"/>
    <w:rsid w:val="000A0D9C"/>
    <w:rsid w:val="000A21FE"/>
    <w:rsid w:val="000A38B8"/>
    <w:rsid w:val="000A4FA5"/>
    <w:rsid w:val="000A521C"/>
    <w:rsid w:val="000A5858"/>
    <w:rsid w:val="000A5876"/>
    <w:rsid w:val="000A5940"/>
    <w:rsid w:val="000A5CC0"/>
    <w:rsid w:val="000A6063"/>
    <w:rsid w:val="000A76FC"/>
    <w:rsid w:val="000A7B8A"/>
    <w:rsid w:val="000B02B3"/>
    <w:rsid w:val="000B051E"/>
    <w:rsid w:val="000B07B6"/>
    <w:rsid w:val="000B0BF1"/>
    <w:rsid w:val="000B0D4F"/>
    <w:rsid w:val="000B10CB"/>
    <w:rsid w:val="000B12BE"/>
    <w:rsid w:val="000B1B04"/>
    <w:rsid w:val="000B2072"/>
    <w:rsid w:val="000B2414"/>
    <w:rsid w:val="000B2537"/>
    <w:rsid w:val="000B36D8"/>
    <w:rsid w:val="000B40FC"/>
    <w:rsid w:val="000B494D"/>
    <w:rsid w:val="000B4C91"/>
    <w:rsid w:val="000B56EB"/>
    <w:rsid w:val="000B604B"/>
    <w:rsid w:val="000B61B2"/>
    <w:rsid w:val="000B6FEB"/>
    <w:rsid w:val="000B7425"/>
    <w:rsid w:val="000C0BE5"/>
    <w:rsid w:val="000C1785"/>
    <w:rsid w:val="000C1B51"/>
    <w:rsid w:val="000C1C02"/>
    <w:rsid w:val="000C1C44"/>
    <w:rsid w:val="000C1F1F"/>
    <w:rsid w:val="000C1FB6"/>
    <w:rsid w:val="000C2A0F"/>
    <w:rsid w:val="000C2DEF"/>
    <w:rsid w:val="000C469C"/>
    <w:rsid w:val="000C46DE"/>
    <w:rsid w:val="000C478D"/>
    <w:rsid w:val="000C661F"/>
    <w:rsid w:val="000C66A7"/>
    <w:rsid w:val="000C67CA"/>
    <w:rsid w:val="000C6B96"/>
    <w:rsid w:val="000C6E96"/>
    <w:rsid w:val="000C6EDF"/>
    <w:rsid w:val="000C7531"/>
    <w:rsid w:val="000C7A94"/>
    <w:rsid w:val="000D0611"/>
    <w:rsid w:val="000D0B55"/>
    <w:rsid w:val="000D0D64"/>
    <w:rsid w:val="000D0FBF"/>
    <w:rsid w:val="000D15CE"/>
    <w:rsid w:val="000D2284"/>
    <w:rsid w:val="000D2647"/>
    <w:rsid w:val="000D2FBD"/>
    <w:rsid w:val="000D3135"/>
    <w:rsid w:val="000D34E3"/>
    <w:rsid w:val="000D3632"/>
    <w:rsid w:val="000D4139"/>
    <w:rsid w:val="000D44E3"/>
    <w:rsid w:val="000D5673"/>
    <w:rsid w:val="000D742D"/>
    <w:rsid w:val="000D7A69"/>
    <w:rsid w:val="000E0207"/>
    <w:rsid w:val="000E02AD"/>
    <w:rsid w:val="000E04A8"/>
    <w:rsid w:val="000E08DD"/>
    <w:rsid w:val="000E0C29"/>
    <w:rsid w:val="000E0C5B"/>
    <w:rsid w:val="000E10A4"/>
    <w:rsid w:val="000E173F"/>
    <w:rsid w:val="000E1B7B"/>
    <w:rsid w:val="000E1D2D"/>
    <w:rsid w:val="000E1DCD"/>
    <w:rsid w:val="000E35D8"/>
    <w:rsid w:val="000E3BB3"/>
    <w:rsid w:val="000E3F57"/>
    <w:rsid w:val="000E417E"/>
    <w:rsid w:val="000E4408"/>
    <w:rsid w:val="000E4761"/>
    <w:rsid w:val="000E48EE"/>
    <w:rsid w:val="000E5159"/>
    <w:rsid w:val="000E5348"/>
    <w:rsid w:val="000E5B79"/>
    <w:rsid w:val="000E5CD7"/>
    <w:rsid w:val="000E673C"/>
    <w:rsid w:val="000E6CCC"/>
    <w:rsid w:val="000E7594"/>
    <w:rsid w:val="000E7B63"/>
    <w:rsid w:val="000F02C9"/>
    <w:rsid w:val="000F0AEA"/>
    <w:rsid w:val="000F0C0D"/>
    <w:rsid w:val="000F1AC5"/>
    <w:rsid w:val="000F1F17"/>
    <w:rsid w:val="000F22DE"/>
    <w:rsid w:val="000F2B70"/>
    <w:rsid w:val="000F46E3"/>
    <w:rsid w:val="000F480F"/>
    <w:rsid w:val="000F55B1"/>
    <w:rsid w:val="000F5E72"/>
    <w:rsid w:val="000F6AE0"/>
    <w:rsid w:val="000F7143"/>
    <w:rsid w:val="000F74DA"/>
    <w:rsid w:val="00100096"/>
    <w:rsid w:val="001000B8"/>
    <w:rsid w:val="0010053E"/>
    <w:rsid w:val="001006E3"/>
    <w:rsid w:val="00100FE3"/>
    <w:rsid w:val="00101C5F"/>
    <w:rsid w:val="00102F7E"/>
    <w:rsid w:val="001039A6"/>
    <w:rsid w:val="001043C6"/>
    <w:rsid w:val="001049A2"/>
    <w:rsid w:val="00104A88"/>
    <w:rsid w:val="00104E59"/>
    <w:rsid w:val="001050B2"/>
    <w:rsid w:val="001053A7"/>
    <w:rsid w:val="0010558E"/>
    <w:rsid w:val="00105D95"/>
    <w:rsid w:val="00105EB4"/>
    <w:rsid w:val="0010617C"/>
    <w:rsid w:val="001068E6"/>
    <w:rsid w:val="00106FDB"/>
    <w:rsid w:val="001070A6"/>
    <w:rsid w:val="00107249"/>
    <w:rsid w:val="0010799A"/>
    <w:rsid w:val="001116EC"/>
    <w:rsid w:val="0011171F"/>
    <w:rsid w:val="00112588"/>
    <w:rsid w:val="00112917"/>
    <w:rsid w:val="00113592"/>
    <w:rsid w:val="00113654"/>
    <w:rsid w:val="00113A48"/>
    <w:rsid w:val="00113EA4"/>
    <w:rsid w:val="00113F51"/>
    <w:rsid w:val="00114C09"/>
    <w:rsid w:val="00114DF6"/>
    <w:rsid w:val="00115D46"/>
    <w:rsid w:val="00115FB1"/>
    <w:rsid w:val="00116DA5"/>
    <w:rsid w:val="001171C6"/>
    <w:rsid w:val="001173AB"/>
    <w:rsid w:val="0011796E"/>
    <w:rsid w:val="0012016C"/>
    <w:rsid w:val="00120263"/>
    <w:rsid w:val="001202AE"/>
    <w:rsid w:val="00120C38"/>
    <w:rsid w:val="00121292"/>
    <w:rsid w:val="00121ABA"/>
    <w:rsid w:val="00121F63"/>
    <w:rsid w:val="00122395"/>
    <w:rsid w:val="00122819"/>
    <w:rsid w:val="0012281C"/>
    <w:rsid w:val="0012306C"/>
    <w:rsid w:val="001236E3"/>
    <w:rsid w:val="00123768"/>
    <w:rsid w:val="00124395"/>
    <w:rsid w:val="00124B40"/>
    <w:rsid w:val="00124EC2"/>
    <w:rsid w:val="00125033"/>
    <w:rsid w:val="001256E3"/>
    <w:rsid w:val="0012581F"/>
    <w:rsid w:val="00126BD9"/>
    <w:rsid w:val="00126FBA"/>
    <w:rsid w:val="00127A3C"/>
    <w:rsid w:val="00131CCE"/>
    <w:rsid w:val="00131FB7"/>
    <w:rsid w:val="0013264D"/>
    <w:rsid w:val="001329CA"/>
    <w:rsid w:val="001333FC"/>
    <w:rsid w:val="001343E1"/>
    <w:rsid w:val="00134EB3"/>
    <w:rsid w:val="00135956"/>
    <w:rsid w:val="00136C57"/>
    <w:rsid w:val="001376BA"/>
    <w:rsid w:val="00137901"/>
    <w:rsid w:val="00137CBE"/>
    <w:rsid w:val="0014014A"/>
    <w:rsid w:val="001403F6"/>
    <w:rsid w:val="00140EEA"/>
    <w:rsid w:val="00141017"/>
    <w:rsid w:val="0014135B"/>
    <w:rsid w:val="00141B4D"/>
    <w:rsid w:val="00141E89"/>
    <w:rsid w:val="001425B2"/>
    <w:rsid w:val="0014280A"/>
    <w:rsid w:val="00142853"/>
    <w:rsid w:val="001429A4"/>
    <w:rsid w:val="00144932"/>
    <w:rsid w:val="00145149"/>
    <w:rsid w:val="0014622C"/>
    <w:rsid w:val="0014681F"/>
    <w:rsid w:val="00146A10"/>
    <w:rsid w:val="00146BAC"/>
    <w:rsid w:val="00147C8B"/>
    <w:rsid w:val="00147F2E"/>
    <w:rsid w:val="00150D83"/>
    <w:rsid w:val="00151839"/>
    <w:rsid w:val="001520F6"/>
    <w:rsid w:val="00152ED9"/>
    <w:rsid w:val="001533C3"/>
    <w:rsid w:val="00153A18"/>
    <w:rsid w:val="00153F52"/>
    <w:rsid w:val="001541C0"/>
    <w:rsid w:val="001541CC"/>
    <w:rsid w:val="001556D8"/>
    <w:rsid w:val="001558C7"/>
    <w:rsid w:val="00155B77"/>
    <w:rsid w:val="00155E3F"/>
    <w:rsid w:val="00155F11"/>
    <w:rsid w:val="0015623A"/>
    <w:rsid w:val="00156925"/>
    <w:rsid w:val="00156FEA"/>
    <w:rsid w:val="00157AED"/>
    <w:rsid w:val="00157F40"/>
    <w:rsid w:val="0016050D"/>
    <w:rsid w:val="00160EBE"/>
    <w:rsid w:val="00161522"/>
    <w:rsid w:val="001622A4"/>
    <w:rsid w:val="001628DC"/>
    <w:rsid w:val="001628FB"/>
    <w:rsid w:val="00163641"/>
    <w:rsid w:val="00164593"/>
    <w:rsid w:val="00164C25"/>
    <w:rsid w:val="00164DCF"/>
    <w:rsid w:val="00165C9A"/>
    <w:rsid w:val="00165FA2"/>
    <w:rsid w:val="0016742F"/>
    <w:rsid w:val="001677A3"/>
    <w:rsid w:val="00167DAC"/>
    <w:rsid w:val="00170A17"/>
    <w:rsid w:val="00170B9B"/>
    <w:rsid w:val="00171129"/>
    <w:rsid w:val="001711A3"/>
    <w:rsid w:val="00171AAF"/>
    <w:rsid w:val="001722AE"/>
    <w:rsid w:val="00172A27"/>
    <w:rsid w:val="00172E0F"/>
    <w:rsid w:val="0017309D"/>
    <w:rsid w:val="001734CB"/>
    <w:rsid w:val="001736E3"/>
    <w:rsid w:val="00173729"/>
    <w:rsid w:val="00174508"/>
    <w:rsid w:val="0017528A"/>
    <w:rsid w:val="00175ADA"/>
    <w:rsid w:val="00176703"/>
    <w:rsid w:val="00176BDB"/>
    <w:rsid w:val="001770BE"/>
    <w:rsid w:val="00177321"/>
    <w:rsid w:val="00177848"/>
    <w:rsid w:val="001814B8"/>
    <w:rsid w:val="00181661"/>
    <w:rsid w:val="0018179C"/>
    <w:rsid w:val="00181E9F"/>
    <w:rsid w:val="0018211D"/>
    <w:rsid w:val="001821F9"/>
    <w:rsid w:val="001832D4"/>
    <w:rsid w:val="001834C5"/>
    <w:rsid w:val="00183BBE"/>
    <w:rsid w:val="0018493F"/>
    <w:rsid w:val="00184F01"/>
    <w:rsid w:val="00185983"/>
    <w:rsid w:val="00185C93"/>
    <w:rsid w:val="001864DD"/>
    <w:rsid w:val="00186CD6"/>
    <w:rsid w:val="00187330"/>
    <w:rsid w:val="00187715"/>
    <w:rsid w:val="001904D8"/>
    <w:rsid w:val="00191387"/>
    <w:rsid w:val="001918A2"/>
    <w:rsid w:val="001928EF"/>
    <w:rsid w:val="00193232"/>
    <w:rsid w:val="001933D7"/>
    <w:rsid w:val="00194523"/>
    <w:rsid w:val="00194CAD"/>
    <w:rsid w:val="001954C9"/>
    <w:rsid w:val="00196C7A"/>
    <w:rsid w:val="001975BE"/>
    <w:rsid w:val="00197C12"/>
    <w:rsid w:val="001A0718"/>
    <w:rsid w:val="001A0825"/>
    <w:rsid w:val="001A2EBE"/>
    <w:rsid w:val="001A2F10"/>
    <w:rsid w:val="001A38B7"/>
    <w:rsid w:val="001A38BA"/>
    <w:rsid w:val="001A40FD"/>
    <w:rsid w:val="001A427A"/>
    <w:rsid w:val="001A4F3A"/>
    <w:rsid w:val="001A4F65"/>
    <w:rsid w:val="001A4F75"/>
    <w:rsid w:val="001A58F7"/>
    <w:rsid w:val="001A6534"/>
    <w:rsid w:val="001A6C85"/>
    <w:rsid w:val="001B088E"/>
    <w:rsid w:val="001B09D1"/>
    <w:rsid w:val="001B0C6B"/>
    <w:rsid w:val="001B19E0"/>
    <w:rsid w:val="001B382F"/>
    <w:rsid w:val="001B3BCF"/>
    <w:rsid w:val="001B43F6"/>
    <w:rsid w:val="001B44C0"/>
    <w:rsid w:val="001B4C88"/>
    <w:rsid w:val="001B510C"/>
    <w:rsid w:val="001B5480"/>
    <w:rsid w:val="001B5560"/>
    <w:rsid w:val="001B5E96"/>
    <w:rsid w:val="001B645A"/>
    <w:rsid w:val="001B671A"/>
    <w:rsid w:val="001C0C6F"/>
    <w:rsid w:val="001C0CE9"/>
    <w:rsid w:val="001C1218"/>
    <w:rsid w:val="001C1275"/>
    <w:rsid w:val="001C1ADE"/>
    <w:rsid w:val="001C23F1"/>
    <w:rsid w:val="001C290F"/>
    <w:rsid w:val="001C323B"/>
    <w:rsid w:val="001C43C9"/>
    <w:rsid w:val="001C4C30"/>
    <w:rsid w:val="001C510C"/>
    <w:rsid w:val="001C7502"/>
    <w:rsid w:val="001D0F99"/>
    <w:rsid w:val="001D14C8"/>
    <w:rsid w:val="001D36F6"/>
    <w:rsid w:val="001D393C"/>
    <w:rsid w:val="001D5534"/>
    <w:rsid w:val="001D59C9"/>
    <w:rsid w:val="001D5ABA"/>
    <w:rsid w:val="001D6189"/>
    <w:rsid w:val="001D6F6A"/>
    <w:rsid w:val="001D72DF"/>
    <w:rsid w:val="001D763B"/>
    <w:rsid w:val="001E19D8"/>
    <w:rsid w:val="001E1F7E"/>
    <w:rsid w:val="001E21F1"/>
    <w:rsid w:val="001E2222"/>
    <w:rsid w:val="001E25DC"/>
    <w:rsid w:val="001E2F3D"/>
    <w:rsid w:val="001E3A98"/>
    <w:rsid w:val="001E4860"/>
    <w:rsid w:val="001E5A5C"/>
    <w:rsid w:val="001E5E89"/>
    <w:rsid w:val="001E68E0"/>
    <w:rsid w:val="001E694C"/>
    <w:rsid w:val="001E6D12"/>
    <w:rsid w:val="001E6EDA"/>
    <w:rsid w:val="001E6FFB"/>
    <w:rsid w:val="001E75BC"/>
    <w:rsid w:val="001E7BA2"/>
    <w:rsid w:val="001E7DEE"/>
    <w:rsid w:val="001F031F"/>
    <w:rsid w:val="001F0E19"/>
    <w:rsid w:val="001F1136"/>
    <w:rsid w:val="001F1C37"/>
    <w:rsid w:val="001F20DB"/>
    <w:rsid w:val="001F3899"/>
    <w:rsid w:val="001F3ABE"/>
    <w:rsid w:val="001F404E"/>
    <w:rsid w:val="001F40E5"/>
    <w:rsid w:val="001F47DF"/>
    <w:rsid w:val="001F4C4B"/>
    <w:rsid w:val="001F4F5A"/>
    <w:rsid w:val="001F5198"/>
    <w:rsid w:val="001F51B7"/>
    <w:rsid w:val="001F57DE"/>
    <w:rsid w:val="001F5F0C"/>
    <w:rsid w:val="001F71AA"/>
    <w:rsid w:val="001F71B8"/>
    <w:rsid w:val="001F732F"/>
    <w:rsid w:val="001F7555"/>
    <w:rsid w:val="001F79AD"/>
    <w:rsid w:val="001F7C11"/>
    <w:rsid w:val="002005FE"/>
    <w:rsid w:val="00200FA0"/>
    <w:rsid w:val="0020145D"/>
    <w:rsid w:val="00201A3C"/>
    <w:rsid w:val="00201F15"/>
    <w:rsid w:val="00202767"/>
    <w:rsid w:val="002047BF"/>
    <w:rsid w:val="0020525D"/>
    <w:rsid w:val="00205365"/>
    <w:rsid w:val="00205433"/>
    <w:rsid w:val="0020545E"/>
    <w:rsid w:val="00205A4A"/>
    <w:rsid w:val="00205FD9"/>
    <w:rsid w:val="00207E66"/>
    <w:rsid w:val="00210E8E"/>
    <w:rsid w:val="0021250D"/>
    <w:rsid w:val="002127FC"/>
    <w:rsid w:val="00213470"/>
    <w:rsid w:val="00214CBF"/>
    <w:rsid w:val="002156B0"/>
    <w:rsid w:val="002161DA"/>
    <w:rsid w:val="002170F0"/>
    <w:rsid w:val="002174FC"/>
    <w:rsid w:val="00217C1C"/>
    <w:rsid w:val="002200E9"/>
    <w:rsid w:val="002202BB"/>
    <w:rsid w:val="00220B6F"/>
    <w:rsid w:val="00220DB5"/>
    <w:rsid w:val="00221153"/>
    <w:rsid w:val="0022186A"/>
    <w:rsid w:val="002230CC"/>
    <w:rsid w:val="00223375"/>
    <w:rsid w:val="00223FFB"/>
    <w:rsid w:val="002247F2"/>
    <w:rsid w:val="00224B71"/>
    <w:rsid w:val="00224BA2"/>
    <w:rsid w:val="002254F0"/>
    <w:rsid w:val="00226552"/>
    <w:rsid w:val="00226B62"/>
    <w:rsid w:val="00226E05"/>
    <w:rsid w:val="00227308"/>
    <w:rsid w:val="00227823"/>
    <w:rsid w:val="00227CE5"/>
    <w:rsid w:val="00227E44"/>
    <w:rsid w:val="00230000"/>
    <w:rsid w:val="00230414"/>
    <w:rsid w:val="002309E3"/>
    <w:rsid w:val="00230B03"/>
    <w:rsid w:val="0023183F"/>
    <w:rsid w:val="00231E4D"/>
    <w:rsid w:val="00232AF7"/>
    <w:rsid w:val="00233190"/>
    <w:rsid w:val="0023330C"/>
    <w:rsid w:val="002338D0"/>
    <w:rsid w:val="00233D74"/>
    <w:rsid w:val="00233EB1"/>
    <w:rsid w:val="002348DD"/>
    <w:rsid w:val="002359CA"/>
    <w:rsid w:val="00235FAC"/>
    <w:rsid w:val="00236875"/>
    <w:rsid w:val="002368BF"/>
    <w:rsid w:val="00236D33"/>
    <w:rsid w:val="002371BB"/>
    <w:rsid w:val="00237C30"/>
    <w:rsid w:val="00237C45"/>
    <w:rsid w:val="002402BC"/>
    <w:rsid w:val="002407A4"/>
    <w:rsid w:val="00241CA3"/>
    <w:rsid w:val="00241D56"/>
    <w:rsid w:val="002427AD"/>
    <w:rsid w:val="0024283E"/>
    <w:rsid w:val="002437B1"/>
    <w:rsid w:val="00243F13"/>
    <w:rsid w:val="00244753"/>
    <w:rsid w:val="002448D6"/>
    <w:rsid w:val="00244DA2"/>
    <w:rsid w:val="00244F84"/>
    <w:rsid w:val="0024554E"/>
    <w:rsid w:val="00245A2B"/>
    <w:rsid w:val="002460EC"/>
    <w:rsid w:val="0024634F"/>
    <w:rsid w:val="00246607"/>
    <w:rsid w:val="002467D0"/>
    <w:rsid w:val="002471A4"/>
    <w:rsid w:val="002471D6"/>
    <w:rsid w:val="00247395"/>
    <w:rsid w:val="00247463"/>
    <w:rsid w:val="00247708"/>
    <w:rsid w:val="00250B38"/>
    <w:rsid w:val="002520E9"/>
    <w:rsid w:val="0025218E"/>
    <w:rsid w:val="00252486"/>
    <w:rsid w:val="00252952"/>
    <w:rsid w:val="00252D3E"/>
    <w:rsid w:val="0025334A"/>
    <w:rsid w:val="00253BD1"/>
    <w:rsid w:val="00253BFD"/>
    <w:rsid w:val="00254501"/>
    <w:rsid w:val="002545C2"/>
    <w:rsid w:val="00254DB0"/>
    <w:rsid w:val="002552F9"/>
    <w:rsid w:val="002558E0"/>
    <w:rsid w:val="00255AEA"/>
    <w:rsid w:val="002563CB"/>
    <w:rsid w:val="00256ECB"/>
    <w:rsid w:val="00257108"/>
    <w:rsid w:val="00257B74"/>
    <w:rsid w:val="00257E18"/>
    <w:rsid w:val="00260074"/>
    <w:rsid w:val="002602E3"/>
    <w:rsid w:val="00260EBF"/>
    <w:rsid w:val="00260F41"/>
    <w:rsid w:val="002614C1"/>
    <w:rsid w:val="00261B2C"/>
    <w:rsid w:val="002620F5"/>
    <w:rsid w:val="00262B8B"/>
    <w:rsid w:val="00263750"/>
    <w:rsid w:val="00264489"/>
    <w:rsid w:val="002646E2"/>
    <w:rsid w:val="00264893"/>
    <w:rsid w:val="002649DE"/>
    <w:rsid w:val="00264EC3"/>
    <w:rsid w:val="002654C4"/>
    <w:rsid w:val="00265766"/>
    <w:rsid w:val="0026588E"/>
    <w:rsid w:val="002666AF"/>
    <w:rsid w:val="00266BBB"/>
    <w:rsid w:val="00267192"/>
    <w:rsid w:val="002704F8"/>
    <w:rsid w:val="002706BB"/>
    <w:rsid w:val="002706D7"/>
    <w:rsid w:val="00271108"/>
    <w:rsid w:val="00271632"/>
    <w:rsid w:val="0027163A"/>
    <w:rsid w:val="00271850"/>
    <w:rsid w:val="00271C29"/>
    <w:rsid w:val="00272066"/>
    <w:rsid w:val="00272317"/>
    <w:rsid w:val="002729FC"/>
    <w:rsid w:val="00272ED8"/>
    <w:rsid w:val="0027363D"/>
    <w:rsid w:val="002740B6"/>
    <w:rsid w:val="002746D5"/>
    <w:rsid w:val="00274D8E"/>
    <w:rsid w:val="0027507D"/>
    <w:rsid w:val="002755D1"/>
    <w:rsid w:val="0027627A"/>
    <w:rsid w:val="00276C1C"/>
    <w:rsid w:val="002773CD"/>
    <w:rsid w:val="0027746E"/>
    <w:rsid w:val="00277F7F"/>
    <w:rsid w:val="0028010A"/>
    <w:rsid w:val="00281303"/>
    <w:rsid w:val="00281F2A"/>
    <w:rsid w:val="002821A0"/>
    <w:rsid w:val="00282401"/>
    <w:rsid w:val="0028337D"/>
    <w:rsid w:val="00283BDC"/>
    <w:rsid w:val="00283C2F"/>
    <w:rsid w:val="00283FD2"/>
    <w:rsid w:val="00284B55"/>
    <w:rsid w:val="002851B0"/>
    <w:rsid w:val="002852C5"/>
    <w:rsid w:val="002853EC"/>
    <w:rsid w:val="002855A4"/>
    <w:rsid w:val="002866B2"/>
    <w:rsid w:val="00286910"/>
    <w:rsid w:val="00286917"/>
    <w:rsid w:val="00290212"/>
    <w:rsid w:val="0029274A"/>
    <w:rsid w:val="00293689"/>
    <w:rsid w:val="00293849"/>
    <w:rsid w:val="00295A8A"/>
    <w:rsid w:val="0029648A"/>
    <w:rsid w:val="002965B7"/>
    <w:rsid w:val="0029661A"/>
    <w:rsid w:val="00297765"/>
    <w:rsid w:val="00297B3B"/>
    <w:rsid w:val="002A010D"/>
    <w:rsid w:val="002A1516"/>
    <w:rsid w:val="002A1B71"/>
    <w:rsid w:val="002A3933"/>
    <w:rsid w:val="002A3C99"/>
    <w:rsid w:val="002A3D0D"/>
    <w:rsid w:val="002A45B4"/>
    <w:rsid w:val="002A540E"/>
    <w:rsid w:val="002A629C"/>
    <w:rsid w:val="002A6B5E"/>
    <w:rsid w:val="002A7085"/>
    <w:rsid w:val="002A71A2"/>
    <w:rsid w:val="002A76A2"/>
    <w:rsid w:val="002A7808"/>
    <w:rsid w:val="002A7DAD"/>
    <w:rsid w:val="002B0D12"/>
    <w:rsid w:val="002B138A"/>
    <w:rsid w:val="002B1F84"/>
    <w:rsid w:val="002B2312"/>
    <w:rsid w:val="002B2943"/>
    <w:rsid w:val="002B36E5"/>
    <w:rsid w:val="002B50EC"/>
    <w:rsid w:val="002B515A"/>
    <w:rsid w:val="002B5BC9"/>
    <w:rsid w:val="002B6150"/>
    <w:rsid w:val="002B6390"/>
    <w:rsid w:val="002B746E"/>
    <w:rsid w:val="002B755D"/>
    <w:rsid w:val="002B76A3"/>
    <w:rsid w:val="002B78DF"/>
    <w:rsid w:val="002B7C2C"/>
    <w:rsid w:val="002C08EE"/>
    <w:rsid w:val="002C12DF"/>
    <w:rsid w:val="002C1CF9"/>
    <w:rsid w:val="002C296A"/>
    <w:rsid w:val="002C2AD1"/>
    <w:rsid w:val="002C2D9C"/>
    <w:rsid w:val="002C68EF"/>
    <w:rsid w:val="002C7169"/>
    <w:rsid w:val="002D02A8"/>
    <w:rsid w:val="002D062F"/>
    <w:rsid w:val="002D11B3"/>
    <w:rsid w:val="002D15F2"/>
    <w:rsid w:val="002D19A7"/>
    <w:rsid w:val="002D2987"/>
    <w:rsid w:val="002D2FC5"/>
    <w:rsid w:val="002D3553"/>
    <w:rsid w:val="002D4525"/>
    <w:rsid w:val="002D4C53"/>
    <w:rsid w:val="002D59A6"/>
    <w:rsid w:val="002D6E9A"/>
    <w:rsid w:val="002E0B1C"/>
    <w:rsid w:val="002E1D37"/>
    <w:rsid w:val="002E1DD8"/>
    <w:rsid w:val="002E28FC"/>
    <w:rsid w:val="002E3797"/>
    <w:rsid w:val="002E47E2"/>
    <w:rsid w:val="002E5947"/>
    <w:rsid w:val="002E5CC4"/>
    <w:rsid w:val="002E6206"/>
    <w:rsid w:val="002E6CC4"/>
    <w:rsid w:val="002E6DAE"/>
    <w:rsid w:val="002E6F61"/>
    <w:rsid w:val="002F0128"/>
    <w:rsid w:val="002F159A"/>
    <w:rsid w:val="002F15FD"/>
    <w:rsid w:val="002F21A2"/>
    <w:rsid w:val="002F3473"/>
    <w:rsid w:val="002F36FC"/>
    <w:rsid w:val="002F5051"/>
    <w:rsid w:val="002F63F8"/>
    <w:rsid w:val="002F68EB"/>
    <w:rsid w:val="002F6ABC"/>
    <w:rsid w:val="002F6D1E"/>
    <w:rsid w:val="002F6ECD"/>
    <w:rsid w:val="002F7718"/>
    <w:rsid w:val="002F7C0E"/>
    <w:rsid w:val="002F7F8E"/>
    <w:rsid w:val="00300867"/>
    <w:rsid w:val="00300F2A"/>
    <w:rsid w:val="00301E31"/>
    <w:rsid w:val="00302972"/>
    <w:rsid w:val="00303277"/>
    <w:rsid w:val="00303565"/>
    <w:rsid w:val="0030405B"/>
    <w:rsid w:val="00304808"/>
    <w:rsid w:val="00304E4C"/>
    <w:rsid w:val="00305338"/>
    <w:rsid w:val="003061DE"/>
    <w:rsid w:val="00306488"/>
    <w:rsid w:val="00307618"/>
    <w:rsid w:val="00307A2E"/>
    <w:rsid w:val="00310011"/>
    <w:rsid w:val="003100B4"/>
    <w:rsid w:val="00311388"/>
    <w:rsid w:val="0031192D"/>
    <w:rsid w:val="00312893"/>
    <w:rsid w:val="00312ABB"/>
    <w:rsid w:val="00313DDE"/>
    <w:rsid w:val="003147E7"/>
    <w:rsid w:val="00314B32"/>
    <w:rsid w:val="00315080"/>
    <w:rsid w:val="00315358"/>
    <w:rsid w:val="003153C5"/>
    <w:rsid w:val="003153F4"/>
    <w:rsid w:val="00315EB2"/>
    <w:rsid w:val="0031622F"/>
    <w:rsid w:val="00317486"/>
    <w:rsid w:val="00317DC1"/>
    <w:rsid w:val="003219C1"/>
    <w:rsid w:val="00322A2D"/>
    <w:rsid w:val="00322BB4"/>
    <w:rsid w:val="00322CF3"/>
    <w:rsid w:val="00322DBF"/>
    <w:rsid w:val="00323373"/>
    <w:rsid w:val="00323460"/>
    <w:rsid w:val="00324075"/>
    <w:rsid w:val="00324191"/>
    <w:rsid w:val="00324B58"/>
    <w:rsid w:val="0032563D"/>
    <w:rsid w:val="0032563E"/>
    <w:rsid w:val="003274CB"/>
    <w:rsid w:val="00327994"/>
    <w:rsid w:val="00327AAD"/>
    <w:rsid w:val="00327AAE"/>
    <w:rsid w:val="00330215"/>
    <w:rsid w:val="00330596"/>
    <w:rsid w:val="00331842"/>
    <w:rsid w:val="00332091"/>
    <w:rsid w:val="003325BC"/>
    <w:rsid w:val="0033353D"/>
    <w:rsid w:val="00335333"/>
    <w:rsid w:val="00335444"/>
    <w:rsid w:val="00335540"/>
    <w:rsid w:val="003368A6"/>
    <w:rsid w:val="0033729C"/>
    <w:rsid w:val="00337AEF"/>
    <w:rsid w:val="003405AC"/>
    <w:rsid w:val="0034136E"/>
    <w:rsid w:val="00341AD5"/>
    <w:rsid w:val="00341AFC"/>
    <w:rsid w:val="003432A1"/>
    <w:rsid w:val="003432D3"/>
    <w:rsid w:val="00344356"/>
    <w:rsid w:val="0034474F"/>
    <w:rsid w:val="003448BD"/>
    <w:rsid w:val="00344A39"/>
    <w:rsid w:val="00345273"/>
    <w:rsid w:val="00345D7B"/>
    <w:rsid w:val="00346969"/>
    <w:rsid w:val="00347E7B"/>
    <w:rsid w:val="00350D17"/>
    <w:rsid w:val="0035191F"/>
    <w:rsid w:val="00351FC0"/>
    <w:rsid w:val="0035203D"/>
    <w:rsid w:val="003521E9"/>
    <w:rsid w:val="00353025"/>
    <w:rsid w:val="003549D7"/>
    <w:rsid w:val="00356E63"/>
    <w:rsid w:val="00356FD0"/>
    <w:rsid w:val="00357711"/>
    <w:rsid w:val="003579D8"/>
    <w:rsid w:val="00360C90"/>
    <w:rsid w:val="00360F34"/>
    <w:rsid w:val="003619CF"/>
    <w:rsid w:val="00362542"/>
    <w:rsid w:val="00362622"/>
    <w:rsid w:val="003629C6"/>
    <w:rsid w:val="00362EDB"/>
    <w:rsid w:val="00362F09"/>
    <w:rsid w:val="003637C0"/>
    <w:rsid w:val="00363912"/>
    <w:rsid w:val="00363933"/>
    <w:rsid w:val="00363C10"/>
    <w:rsid w:val="0036600E"/>
    <w:rsid w:val="00366BCC"/>
    <w:rsid w:val="00366CCA"/>
    <w:rsid w:val="003701F2"/>
    <w:rsid w:val="00370A45"/>
    <w:rsid w:val="00370A47"/>
    <w:rsid w:val="00370D5A"/>
    <w:rsid w:val="003714E1"/>
    <w:rsid w:val="00371A97"/>
    <w:rsid w:val="00372531"/>
    <w:rsid w:val="00372A5B"/>
    <w:rsid w:val="003736AB"/>
    <w:rsid w:val="00374322"/>
    <w:rsid w:val="0037432D"/>
    <w:rsid w:val="00374677"/>
    <w:rsid w:val="00374AE2"/>
    <w:rsid w:val="00374B0C"/>
    <w:rsid w:val="00375952"/>
    <w:rsid w:val="00376CB1"/>
    <w:rsid w:val="0037722D"/>
    <w:rsid w:val="003807DD"/>
    <w:rsid w:val="00380986"/>
    <w:rsid w:val="00380D5E"/>
    <w:rsid w:val="0038441B"/>
    <w:rsid w:val="00384557"/>
    <w:rsid w:val="0038481A"/>
    <w:rsid w:val="00385B2A"/>
    <w:rsid w:val="0038612C"/>
    <w:rsid w:val="0038744C"/>
    <w:rsid w:val="00390FE9"/>
    <w:rsid w:val="003916A3"/>
    <w:rsid w:val="00391743"/>
    <w:rsid w:val="0039228F"/>
    <w:rsid w:val="00393504"/>
    <w:rsid w:val="003942EA"/>
    <w:rsid w:val="003945C0"/>
    <w:rsid w:val="00394EEE"/>
    <w:rsid w:val="00395BE5"/>
    <w:rsid w:val="0039659F"/>
    <w:rsid w:val="003965C8"/>
    <w:rsid w:val="003971A1"/>
    <w:rsid w:val="003A012F"/>
    <w:rsid w:val="003A075F"/>
    <w:rsid w:val="003A1208"/>
    <w:rsid w:val="003A1495"/>
    <w:rsid w:val="003A1BCE"/>
    <w:rsid w:val="003A239F"/>
    <w:rsid w:val="003A369F"/>
    <w:rsid w:val="003A4254"/>
    <w:rsid w:val="003A4EA8"/>
    <w:rsid w:val="003A5D5B"/>
    <w:rsid w:val="003A65BD"/>
    <w:rsid w:val="003A6A92"/>
    <w:rsid w:val="003A6D2D"/>
    <w:rsid w:val="003A6D70"/>
    <w:rsid w:val="003A6EB0"/>
    <w:rsid w:val="003A72B6"/>
    <w:rsid w:val="003A7431"/>
    <w:rsid w:val="003A78A8"/>
    <w:rsid w:val="003B0C5F"/>
    <w:rsid w:val="003B1597"/>
    <w:rsid w:val="003B1679"/>
    <w:rsid w:val="003B1AA2"/>
    <w:rsid w:val="003B1B65"/>
    <w:rsid w:val="003B1C9C"/>
    <w:rsid w:val="003B1F8B"/>
    <w:rsid w:val="003B2964"/>
    <w:rsid w:val="003B3568"/>
    <w:rsid w:val="003B3DCB"/>
    <w:rsid w:val="003B436E"/>
    <w:rsid w:val="003B4414"/>
    <w:rsid w:val="003B56AC"/>
    <w:rsid w:val="003B579B"/>
    <w:rsid w:val="003B6128"/>
    <w:rsid w:val="003B6D0E"/>
    <w:rsid w:val="003B6DD7"/>
    <w:rsid w:val="003B70CC"/>
    <w:rsid w:val="003B784F"/>
    <w:rsid w:val="003B796A"/>
    <w:rsid w:val="003C06A2"/>
    <w:rsid w:val="003C1265"/>
    <w:rsid w:val="003C145F"/>
    <w:rsid w:val="003C159F"/>
    <w:rsid w:val="003C17B4"/>
    <w:rsid w:val="003C18D1"/>
    <w:rsid w:val="003C1FAA"/>
    <w:rsid w:val="003C2E45"/>
    <w:rsid w:val="003C32D3"/>
    <w:rsid w:val="003C34A3"/>
    <w:rsid w:val="003C3E4A"/>
    <w:rsid w:val="003C4406"/>
    <w:rsid w:val="003C47A6"/>
    <w:rsid w:val="003C48A4"/>
    <w:rsid w:val="003C4D34"/>
    <w:rsid w:val="003C4FD1"/>
    <w:rsid w:val="003C5496"/>
    <w:rsid w:val="003C63D2"/>
    <w:rsid w:val="003C68D4"/>
    <w:rsid w:val="003C6955"/>
    <w:rsid w:val="003C771D"/>
    <w:rsid w:val="003C778E"/>
    <w:rsid w:val="003C77FA"/>
    <w:rsid w:val="003C7DEA"/>
    <w:rsid w:val="003C7E56"/>
    <w:rsid w:val="003D0863"/>
    <w:rsid w:val="003D0B21"/>
    <w:rsid w:val="003D0CA4"/>
    <w:rsid w:val="003D0E8B"/>
    <w:rsid w:val="003D123F"/>
    <w:rsid w:val="003D24F4"/>
    <w:rsid w:val="003D2831"/>
    <w:rsid w:val="003D2E5A"/>
    <w:rsid w:val="003D397B"/>
    <w:rsid w:val="003D3B85"/>
    <w:rsid w:val="003D4443"/>
    <w:rsid w:val="003D4CFA"/>
    <w:rsid w:val="003D5897"/>
    <w:rsid w:val="003D5EDE"/>
    <w:rsid w:val="003D6406"/>
    <w:rsid w:val="003D7034"/>
    <w:rsid w:val="003D7238"/>
    <w:rsid w:val="003D7960"/>
    <w:rsid w:val="003D7F1D"/>
    <w:rsid w:val="003E0091"/>
    <w:rsid w:val="003E082B"/>
    <w:rsid w:val="003E0AAF"/>
    <w:rsid w:val="003E1478"/>
    <w:rsid w:val="003E3031"/>
    <w:rsid w:val="003E38BD"/>
    <w:rsid w:val="003E3CB2"/>
    <w:rsid w:val="003E4450"/>
    <w:rsid w:val="003E5288"/>
    <w:rsid w:val="003E5590"/>
    <w:rsid w:val="003E616E"/>
    <w:rsid w:val="003E678D"/>
    <w:rsid w:val="003E6C1C"/>
    <w:rsid w:val="003E71FA"/>
    <w:rsid w:val="003E7621"/>
    <w:rsid w:val="003E7770"/>
    <w:rsid w:val="003F0856"/>
    <w:rsid w:val="003F08B9"/>
    <w:rsid w:val="003F0A20"/>
    <w:rsid w:val="003F190F"/>
    <w:rsid w:val="003F212B"/>
    <w:rsid w:val="003F2722"/>
    <w:rsid w:val="003F3A4F"/>
    <w:rsid w:val="003F3D6C"/>
    <w:rsid w:val="003F5374"/>
    <w:rsid w:val="003F579C"/>
    <w:rsid w:val="003F593A"/>
    <w:rsid w:val="003F5959"/>
    <w:rsid w:val="003F5989"/>
    <w:rsid w:val="003F5A29"/>
    <w:rsid w:val="003F622A"/>
    <w:rsid w:val="003F6BC2"/>
    <w:rsid w:val="003F6C86"/>
    <w:rsid w:val="003F6E8B"/>
    <w:rsid w:val="003F7341"/>
    <w:rsid w:val="00400F87"/>
    <w:rsid w:val="00401609"/>
    <w:rsid w:val="0040189D"/>
    <w:rsid w:val="0040354B"/>
    <w:rsid w:val="004036A4"/>
    <w:rsid w:val="00403C08"/>
    <w:rsid w:val="00403C7F"/>
    <w:rsid w:val="0040430E"/>
    <w:rsid w:val="00404690"/>
    <w:rsid w:val="004047CD"/>
    <w:rsid w:val="00404A3E"/>
    <w:rsid w:val="00404BEE"/>
    <w:rsid w:val="00404D2F"/>
    <w:rsid w:val="004052DD"/>
    <w:rsid w:val="004054A1"/>
    <w:rsid w:val="004065B9"/>
    <w:rsid w:val="00406C18"/>
    <w:rsid w:val="004071E5"/>
    <w:rsid w:val="0040789B"/>
    <w:rsid w:val="00407C20"/>
    <w:rsid w:val="0041008E"/>
    <w:rsid w:val="00410103"/>
    <w:rsid w:val="0041121C"/>
    <w:rsid w:val="00411681"/>
    <w:rsid w:val="00411FD9"/>
    <w:rsid w:val="00412142"/>
    <w:rsid w:val="00412435"/>
    <w:rsid w:val="0041245E"/>
    <w:rsid w:val="004138B1"/>
    <w:rsid w:val="00413C8A"/>
    <w:rsid w:val="00420875"/>
    <w:rsid w:val="004209B4"/>
    <w:rsid w:val="00421267"/>
    <w:rsid w:val="00421537"/>
    <w:rsid w:val="00421F5C"/>
    <w:rsid w:val="0042249F"/>
    <w:rsid w:val="00422A68"/>
    <w:rsid w:val="00422F2E"/>
    <w:rsid w:val="00423341"/>
    <w:rsid w:val="004234CC"/>
    <w:rsid w:val="00423660"/>
    <w:rsid w:val="00424951"/>
    <w:rsid w:val="00424EA7"/>
    <w:rsid w:val="00425101"/>
    <w:rsid w:val="00425285"/>
    <w:rsid w:val="00425B0F"/>
    <w:rsid w:val="00425CDC"/>
    <w:rsid w:val="00425EA6"/>
    <w:rsid w:val="00426EED"/>
    <w:rsid w:val="00426F01"/>
    <w:rsid w:val="00426FA8"/>
    <w:rsid w:val="004271EA"/>
    <w:rsid w:val="00427AB6"/>
    <w:rsid w:val="00427E73"/>
    <w:rsid w:val="004318F2"/>
    <w:rsid w:val="00431D9B"/>
    <w:rsid w:val="00432052"/>
    <w:rsid w:val="00432248"/>
    <w:rsid w:val="004322B5"/>
    <w:rsid w:val="00432558"/>
    <w:rsid w:val="00434A39"/>
    <w:rsid w:val="00434E33"/>
    <w:rsid w:val="00435953"/>
    <w:rsid w:val="00436C4B"/>
    <w:rsid w:val="00437F25"/>
    <w:rsid w:val="00440195"/>
    <w:rsid w:val="00441BD5"/>
    <w:rsid w:val="00442DB3"/>
    <w:rsid w:val="00442F73"/>
    <w:rsid w:val="00443492"/>
    <w:rsid w:val="004436E6"/>
    <w:rsid w:val="004448CD"/>
    <w:rsid w:val="00444B9B"/>
    <w:rsid w:val="00446889"/>
    <w:rsid w:val="00446AD7"/>
    <w:rsid w:val="00446B4F"/>
    <w:rsid w:val="00447ECB"/>
    <w:rsid w:val="00451555"/>
    <w:rsid w:val="004523C7"/>
    <w:rsid w:val="004530B3"/>
    <w:rsid w:val="004538C3"/>
    <w:rsid w:val="00453B59"/>
    <w:rsid w:val="004541EA"/>
    <w:rsid w:val="00455850"/>
    <w:rsid w:val="004565AC"/>
    <w:rsid w:val="00456AC3"/>
    <w:rsid w:val="00456FC4"/>
    <w:rsid w:val="004570E2"/>
    <w:rsid w:val="00457865"/>
    <w:rsid w:val="004578A0"/>
    <w:rsid w:val="00457E21"/>
    <w:rsid w:val="00460287"/>
    <w:rsid w:val="00460B16"/>
    <w:rsid w:val="004615B8"/>
    <w:rsid w:val="004616EB"/>
    <w:rsid w:val="00461E4F"/>
    <w:rsid w:val="00462133"/>
    <w:rsid w:val="0046222B"/>
    <w:rsid w:val="00462B8E"/>
    <w:rsid w:val="00463252"/>
    <w:rsid w:val="00463748"/>
    <w:rsid w:val="00463BDA"/>
    <w:rsid w:val="00464036"/>
    <w:rsid w:val="004642A6"/>
    <w:rsid w:val="00464F2A"/>
    <w:rsid w:val="00466EB3"/>
    <w:rsid w:val="004670DF"/>
    <w:rsid w:val="0046721C"/>
    <w:rsid w:val="0047003F"/>
    <w:rsid w:val="004710D5"/>
    <w:rsid w:val="004714DE"/>
    <w:rsid w:val="00471552"/>
    <w:rsid w:val="004718A7"/>
    <w:rsid w:val="004719F7"/>
    <w:rsid w:val="00471C8F"/>
    <w:rsid w:val="004724A3"/>
    <w:rsid w:val="00474474"/>
    <w:rsid w:val="004746C7"/>
    <w:rsid w:val="004751F5"/>
    <w:rsid w:val="004752CD"/>
    <w:rsid w:val="004754F5"/>
    <w:rsid w:val="00475B82"/>
    <w:rsid w:val="00476922"/>
    <w:rsid w:val="00476C4F"/>
    <w:rsid w:val="00476D82"/>
    <w:rsid w:val="00476EFB"/>
    <w:rsid w:val="004804FD"/>
    <w:rsid w:val="004806C1"/>
    <w:rsid w:val="00480ED3"/>
    <w:rsid w:val="0048164A"/>
    <w:rsid w:val="004817BE"/>
    <w:rsid w:val="004819DC"/>
    <w:rsid w:val="00481E50"/>
    <w:rsid w:val="00483345"/>
    <w:rsid w:val="00483B46"/>
    <w:rsid w:val="00483CFC"/>
    <w:rsid w:val="00484EBB"/>
    <w:rsid w:val="00485F77"/>
    <w:rsid w:val="004861CB"/>
    <w:rsid w:val="004869AC"/>
    <w:rsid w:val="00487D47"/>
    <w:rsid w:val="00490E91"/>
    <w:rsid w:val="00490F74"/>
    <w:rsid w:val="00491603"/>
    <w:rsid w:val="00491615"/>
    <w:rsid w:val="00491C8C"/>
    <w:rsid w:val="00493960"/>
    <w:rsid w:val="00493BAB"/>
    <w:rsid w:val="00493F59"/>
    <w:rsid w:val="0049430A"/>
    <w:rsid w:val="004958D3"/>
    <w:rsid w:val="004959FB"/>
    <w:rsid w:val="00495D2D"/>
    <w:rsid w:val="004963F1"/>
    <w:rsid w:val="004968A1"/>
    <w:rsid w:val="004968EE"/>
    <w:rsid w:val="00496C79"/>
    <w:rsid w:val="00496CF9"/>
    <w:rsid w:val="00496EB7"/>
    <w:rsid w:val="004972C6"/>
    <w:rsid w:val="00497992"/>
    <w:rsid w:val="00497B98"/>
    <w:rsid w:val="00497F5F"/>
    <w:rsid w:val="004A0B78"/>
    <w:rsid w:val="004A0C68"/>
    <w:rsid w:val="004A1F06"/>
    <w:rsid w:val="004A2263"/>
    <w:rsid w:val="004A2512"/>
    <w:rsid w:val="004A263A"/>
    <w:rsid w:val="004A423A"/>
    <w:rsid w:val="004A4403"/>
    <w:rsid w:val="004A4D45"/>
    <w:rsid w:val="004A5BBB"/>
    <w:rsid w:val="004A69B3"/>
    <w:rsid w:val="004A6E2F"/>
    <w:rsid w:val="004A7D18"/>
    <w:rsid w:val="004B04F5"/>
    <w:rsid w:val="004B06EF"/>
    <w:rsid w:val="004B1603"/>
    <w:rsid w:val="004B1704"/>
    <w:rsid w:val="004B2272"/>
    <w:rsid w:val="004B2BF9"/>
    <w:rsid w:val="004B3E87"/>
    <w:rsid w:val="004B3F0D"/>
    <w:rsid w:val="004B40A1"/>
    <w:rsid w:val="004B43F4"/>
    <w:rsid w:val="004B4A49"/>
    <w:rsid w:val="004B55C5"/>
    <w:rsid w:val="004B59F9"/>
    <w:rsid w:val="004B6AC5"/>
    <w:rsid w:val="004B6FBF"/>
    <w:rsid w:val="004B7304"/>
    <w:rsid w:val="004B74C7"/>
    <w:rsid w:val="004C06B8"/>
    <w:rsid w:val="004C0B3A"/>
    <w:rsid w:val="004C12DB"/>
    <w:rsid w:val="004C1382"/>
    <w:rsid w:val="004C1F1B"/>
    <w:rsid w:val="004C267B"/>
    <w:rsid w:val="004C2820"/>
    <w:rsid w:val="004C355F"/>
    <w:rsid w:val="004C364A"/>
    <w:rsid w:val="004C4A70"/>
    <w:rsid w:val="004C4E31"/>
    <w:rsid w:val="004C50F5"/>
    <w:rsid w:val="004C5259"/>
    <w:rsid w:val="004C539B"/>
    <w:rsid w:val="004C5EEE"/>
    <w:rsid w:val="004C64C4"/>
    <w:rsid w:val="004C6BC8"/>
    <w:rsid w:val="004C6DA7"/>
    <w:rsid w:val="004C716D"/>
    <w:rsid w:val="004C794E"/>
    <w:rsid w:val="004C7ED3"/>
    <w:rsid w:val="004C7FCC"/>
    <w:rsid w:val="004D167C"/>
    <w:rsid w:val="004D1F40"/>
    <w:rsid w:val="004D2255"/>
    <w:rsid w:val="004D2B50"/>
    <w:rsid w:val="004D3051"/>
    <w:rsid w:val="004D3164"/>
    <w:rsid w:val="004D3362"/>
    <w:rsid w:val="004D33E4"/>
    <w:rsid w:val="004D3E73"/>
    <w:rsid w:val="004D3ECC"/>
    <w:rsid w:val="004D402E"/>
    <w:rsid w:val="004D4154"/>
    <w:rsid w:val="004D473C"/>
    <w:rsid w:val="004D4889"/>
    <w:rsid w:val="004D4951"/>
    <w:rsid w:val="004D56B2"/>
    <w:rsid w:val="004D593F"/>
    <w:rsid w:val="004D5B29"/>
    <w:rsid w:val="004D655B"/>
    <w:rsid w:val="004D66EB"/>
    <w:rsid w:val="004D7FDC"/>
    <w:rsid w:val="004E0869"/>
    <w:rsid w:val="004E0EA1"/>
    <w:rsid w:val="004E26D8"/>
    <w:rsid w:val="004E26E8"/>
    <w:rsid w:val="004E295A"/>
    <w:rsid w:val="004E3BA3"/>
    <w:rsid w:val="004E3CEB"/>
    <w:rsid w:val="004E5808"/>
    <w:rsid w:val="004E5D9C"/>
    <w:rsid w:val="004E71DF"/>
    <w:rsid w:val="004E785B"/>
    <w:rsid w:val="004E7F35"/>
    <w:rsid w:val="004F07F7"/>
    <w:rsid w:val="004F193C"/>
    <w:rsid w:val="004F1BD1"/>
    <w:rsid w:val="004F1CFF"/>
    <w:rsid w:val="004F2BCD"/>
    <w:rsid w:val="004F35C2"/>
    <w:rsid w:val="004F4348"/>
    <w:rsid w:val="004F50C2"/>
    <w:rsid w:val="004F55C5"/>
    <w:rsid w:val="004F6742"/>
    <w:rsid w:val="004F6E17"/>
    <w:rsid w:val="004F70DA"/>
    <w:rsid w:val="004F7120"/>
    <w:rsid w:val="00500D9D"/>
    <w:rsid w:val="00501689"/>
    <w:rsid w:val="00502016"/>
    <w:rsid w:val="00503001"/>
    <w:rsid w:val="00503229"/>
    <w:rsid w:val="00503A55"/>
    <w:rsid w:val="005045F7"/>
    <w:rsid w:val="005047C8"/>
    <w:rsid w:val="00505169"/>
    <w:rsid w:val="00505421"/>
    <w:rsid w:val="00505C85"/>
    <w:rsid w:val="00505D56"/>
    <w:rsid w:val="00505DC7"/>
    <w:rsid w:val="00506063"/>
    <w:rsid w:val="005061F0"/>
    <w:rsid w:val="00506679"/>
    <w:rsid w:val="005068F9"/>
    <w:rsid w:val="00510624"/>
    <w:rsid w:val="0051107A"/>
    <w:rsid w:val="00512270"/>
    <w:rsid w:val="00513520"/>
    <w:rsid w:val="005135F6"/>
    <w:rsid w:val="00513AD6"/>
    <w:rsid w:val="00513E80"/>
    <w:rsid w:val="0051452C"/>
    <w:rsid w:val="0051474E"/>
    <w:rsid w:val="00514CC6"/>
    <w:rsid w:val="00515081"/>
    <w:rsid w:val="0051581D"/>
    <w:rsid w:val="00515F97"/>
    <w:rsid w:val="00515FBF"/>
    <w:rsid w:val="005160B9"/>
    <w:rsid w:val="0051627D"/>
    <w:rsid w:val="0051674F"/>
    <w:rsid w:val="00516996"/>
    <w:rsid w:val="00516A69"/>
    <w:rsid w:val="00516B5B"/>
    <w:rsid w:val="00516EC0"/>
    <w:rsid w:val="005179AF"/>
    <w:rsid w:val="00517ED1"/>
    <w:rsid w:val="00520877"/>
    <w:rsid w:val="00521E42"/>
    <w:rsid w:val="0052239E"/>
    <w:rsid w:val="005225ED"/>
    <w:rsid w:val="005230A4"/>
    <w:rsid w:val="005233F2"/>
    <w:rsid w:val="0052411D"/>
    <w:rsid w:val="00524278"/>
    <w:rsid w:val="00524386"/>
    <w:rsid w:val="00524570"/>
    <w:rsid w:val="005245A5"/>
    <w:rsid w:val="00524812"/>
    <w:rsid w:val="0052578B"/>
    <w:rsid w:val="005265AF"/>
    <w:rsid w:val="005265D6"/>
    <w:rsid w:val="0052735F"/>
    <w:rsid w:val="00527EF4"/>
    <w:rsid w:val="005305A1"/>
    <w:rsid w:val="00530688"/>
    <w:rsid w:val="0053170E"/>
    <w:rsid w:val="00532769"/>
    <w:rsid w:val="00533B74"/>
    <w:rsid w:val="00533E81"/>
    <w:rsid w:val="00534012"/>
    <w:rsid w:val="00534439"/>
    <w:rsid w:val="0053452B"/>
    <w:rsid w:val="00534F43"/>
    <w:rsid w:val="00535080"/>
    <w:rsid w:val="00535452"/>
    <w:rsid w:val="0053641F"/>
    <w:rsid w:val="00536E3C"/>
    <w:rsid w:val="00536EE8"/>
    <w:rsid w:val="0053707E"/>
    <w:rsid w:val="005374E2"/>
    <w:rsid w:val="00537BFD"/>
    <w:rsid w:val="00540868"/>
    <w:rsid w:val="00540DBB"/>
    <w:rsid w:val="00541077"/>
    <w:rsid w:val="0054118F"/>
    <w:rsid w:val="0054170A"/>
    <w:rsid w:val="00543092"/>
    <w:rsid w:val="00543754"/>
    <w:rsid w:val="00543A71"/>
    <w:rsid w:val="00545502"/>
    <w:rsid w:val="00545B1B"/>
    <w:rsid w:val="00545DB6"/>
    <w:rsid w:val="00545EBB"/>
    <w:rsid w:val="00546314"/>
    <w:rsid w:val="0054677B"/>
    <w:rsid w:val="0054740F"/>
    <w:rsid w:val="00550D03"/>
    <w:rsid w:val="00550D59"/>
    <w:rsid w:val="00550D96"/>
    <w:rsid w:val="00550EDA"/>
    <w:rsid w:val="0055148A"/>
    <w:rsid w:val="005516AA"/>
    <w:rsid w:val="00551E57"/>
    <w:rsid w:val="00552335"/>
    <w:rsid w:val="00553987"/>
    <w:rsid w:val="00553F11"/>
    <w:rsid w:val="00553FBA"/>
    <w:rsid w:val="0055405E"/>
    <w:rsid w:val="00555154"/>
    <w:rsid w:val="005562EB"/>
    <w:rsid w:val="00556D2C"/>
    <w:rsid w:val="00557564"/>
    <w:rsid w:val="00557746"/>
    <w:rsid w:val="00557A1E"/>
    <w:rsid w:val="00557B34"/>
    <w:rsid w:val="00561BF4"/>
    <w:rsid w:val="005634A7"/>
    <w:rsid w:val="00563862"/>
    <w:rsid w:val="00563E85"/>
    <w:rsid w:val="00564D5E"/>
    <w:rsid w:val="00565202"/>
    <w:rsid w:val="00565732"/>
    <w:rsid w:val="00565D50"/>
    <w:rsid w:val="00565DC0"/>
    <w:rsid w:val="0056757A"/>
    <w:rsid w:val="005678C5"/>
    <w:rsid w:val="00567E12"/>
    <w:rsid w:val="00570657"/>
    <w:rsid w:val="0057104E"/>
    <w:rsid w:val="0057131B"/>
    <w:rsid w:val="00571A21"/>
    <w:rsid w:val="00571B40"/>
    <w:rsid w:val="005722E2"/>
    <w:rsid w:val="00572415"/>
    <w:rsid w:val="00572684"/>
    <w:rsid w:val="005726D4"/>
    <w:rsid w:val="0057364E"/>
    <w:rsid w:val="0057440B"/>
    <w:rsid w:val="005746BD"/>
    <w:rsid w:val="00575FF2"/>
    <w:rsid w:val="005763AB"/>
    <w:rsid w:val="005763C4"/>
    <w:rsid w:val="00576535"/>
    <w:rsid w:val="00576867"/>
    <w:rsid w:val="00576EBA"/>
    <w:rsid w:val="005771A1"/>
    <w:rsid w:val="005772A3"/>
    <w:rsid w:val="00577469"/>
    <w:rsid w:val="005777B8"/>
    <w:rsid w:val="005777C9"/>
    <w:rsid w:val="00580332"/>
    <w:rsid w:val="00580650"/>
    <w:rsid w:val="0058117E"/>
    <w:rsid w:val="00582BC7"/>
    <w:rsid w:val="00582D92"/>
    <w:rsid w:val="00582EB1"/>
    <w:rsid w:val="005831CC"/>
    <w:rsid w:val="00583E5A"/>
    <w:rsid w:val="005854F7"/>
    <w:rsid w:val="005869D8"/>
    <w:rsid w:val="00586DB9"/>
    <w:rsid w:val="00587022"/>
    <w:rsid w:val="005870E6"/>
    <w:rsid w:val="005877E7"/>
    <w:rsid w:val="005877F6"/>
    <w:rsid w:val="00587EB3"/>
    <w:rsid w:val="0059002F"/>
    <w:rsid w:val="0059092F"/>
    <w:rsid w:val="0059158B"/>
    <w:rsid w:val="005915B7"/>
    <w:rsid w:val="00591BC4"/>
    <w:rsid w:val="0059250E"/>
    <w:rsid w:val="005928AC"/>
    <w:rsid w:val="005934AD"/>
    <w:rsid w:val="00593650"/>
    <w:rsid w:val="00593661"/>
    <w:rsid w:val="005940A8"/>
    <w:rsid w:val="00594F71"/>
    <w:rsid w:val="00595486"/>
    <w:rsid w:val="00595CEC"/>
    <w:rsid w:val="00597639"/>
    <w:rsid w:val="005A0627"/>
    <w:rsid w:val="005A0984"/>
    <w:rsid w:val="005A14C9"/>
    <w:rsid w:val="005A1690"/>
    <w:rsid w:val="005A27B1"/>
    <w:rsid w:val="005A2AC8"/>
    <w:rsid w:val="005A2B1A"/>
    <w:rsid w:val="005A2EBD"/>
    <w:rsid w:val="005A352C"/>
    <w:rsid w:val="005A37F2"/>
    <w:rsid w:val="005A39F9"/>
    <w:rsid w:val="005A5455"/>
    <w:rsid w:val="005A5B32"/>
    <w:rsid w:val="005A5B4F"/>
    <w:rsid w:val="005A5E6E"/>
    <w:rsid w:val="005A636B"/>
    <w:rsid w:val="005A7341"/>
    <w:rsid w:val="005B0D40"/>
    <w:rsid w:val="005B13BA"/>
    <w:rsid w:val="005B21A5"/>
    <w:rsid w:val="005B4378"/>
    <w:rsid w:val="005B4B92"/>
    <w:rsid w:val="005B5CC8"/>
    <w:rsid w:val="005B5DD4"/>
    <w:rsid w:val="005B5F0F"/>
    <w:rsid w:val="005B6541"/>
    <w:rsid w:val="005B67E4"/>
    <w:rsid w:val="005B72B8"/>
    <w:rsid w:val="005B780C"/>
    <w:rsid w:val="005C072F"/>
    <w:rsid w:val="005C101D"/>
    <w:rsid w:val="005C1DC0"/>
    <w:rsid w:val="005C2D03"/>
    <w:rsid w:val="005C2F63"/>
    <w:rsid w:val="005C3462"/>
    <w:rsid w:val="005C4E09"/>
    <w:rsid w:val="005C57F6"/>
    <w:rsid w:val="005C5B0E"/>
    <w:rsid w:val="005C62B6"/>
    <w:rsid w:val="005C678C"/>
    <w:rsid w:val="005C67F0"/>
    <w:rsid w:val="005C6841"/>
    <w:rsid w:val="005C6BC3"/>
    <w:rsid w:val="005D047F"/>
    <w:rsid w:val="005D0A2D"/>
    <w:rsid w:val="005D0BF1"/>
    <w:rsid w:val="005D0FA3"/>
    <w:rsid w:val="005D1214"/>
    <w:rsid w:val="005D2BA4"/>
    <w:rsid w:val="005D3275"/>
    <w:rsid w:val="005D4077"/>
    <w:rsid w:val="005D427F"/>
    <w:rsid w:val="005D431E"/>
    <w:rsid w:val="005D46AE"/>
    <w:rsid w:val="005D4DF1"/>
    <w:rsid w:val="005D58C3"/>
    <w:rsid w:val="005D59A8"/>
    <w:rsid w:val="005D6146"/>
    <w:rsid w:val="005D6531"/>
    <w:rsid w:val="005D6FC8"/>
    <w:rsid w:val="005D6FD1"/>
    <w:rsid w:val="005D79CB"/>
    <w:rsid w:val="005D7FA4"/>
    <w:rsid w:val="005E0D4B"/>
    <w:rsid w:val="005E1179"/>
    <w:rsid w:val="005E156D"/>
    <w:rsid w:val="005E22CA"/>
    <w:rsid w:val="005E2BAC"/>
    <w:rsid w:val="005E2D7E"/>
    <w:rsid w:val="005E47FE"/>
    <w:rsid w:val="005E5899"/>
    <w:rsid w:val="005E5B7D"/>
    <w:rsid w:val="005E61DC"/>
    <w:rsid w:val="005E713D"/>
    <w:rsid w:val="005E766E"/>
    <w:rsid w:val="005E7E89"/>
    <w:rsid w:val="005F069B"/>
    <w:rsid w:val="005F09C7"/>
    <w:rsid w:val="005F153A"/>
    <w:rsid w:val="005F1739"/>
    <w:rsid w:val="005F2846"/>
    <w:rsid w:val="005F2886"/>
    <w:rsid w:val="005F28E1"/>
    <w:rsid w:val="005F3658"/>
    <w:rsid w:val="005F3B26"/>
    <w:rsid w:val="005F3D8D"/>
    <w:rsid w:val="005F3E6E"/>
    <w:rsid w:val="005F4114"/>
    <w:rsid w:val="005F4DFF"/>
    <w:rsid w:val="005F5466"/>
    <w:rsid w:val="005F5823"/>
    <w:rsid w:val="005F6ABA"/>
    <w:rsid w:val="005F77A0"/>
    <w:rsid w:val="005F7982"/>
    <w:rsid w:val="005F7EC8"/>
    <w:rsid w:val="00600FC8"/>
    <w:rsid w:val="00601937"/>
    <w:rsid w:val="00601E53"/>
    <w:rsid w:val="00601F3B"/>
    <w:rsid w:val="006021EA"/>
    <w:rsid w:val="0060238B"/>
    <w:rsid w:val="00602D04"/>
    <w:rsid w:val="0060307E"/>
    <w:rsid w:val="00603237"/>
    <w:rsid w:val="006034CF"/>
    <w:rsid w:val="0060354F"/>
    <w:rsid w:val="00603EF1"/>
    <w:rsid w:val="006043C2"/>
    <w:rsid w:val="00604BA2"/>
    <w:rsid w:val="006054A7"/>
    <w:rsid w:val="0060605E"/>
    <w:rsid w:val="006074C0"/>
    <w:rsid w:val="0060756D"/>
    <w:rsid w:val="00607599"/>
    <w:rsid w:val="00607C11"/>
    <w:rsid w:val="00607D01"/>
    <w:rsid w:val="006103A1"/>
    <w:rsid w:val="006106C8"/>
    <w:rsid w:val="0061119F"/>
    <w:rsid w:val="006125E4"/>
    <w:rsid w:val="0061265C"/>
    <w:rsid w:val="0061272E"/>
    <w:rsid w:val="006129F2"/>
    <w:rsid w:val="0061329E"/>
    <w:rsid w:val="00613BF4"/>
    <w:rsid w:val="00613D77"/>
    <w:rsid w:val="00613E7E"/>
    <w:rsid w:val="006145DF"/>
    <w:rsid w:val="00614EDF"/>
    <w:rsid w:val="006153FD"/>
    <w:rsid w:val="00615BD9"/>
    <w:rsid w:val="00615BFF"/>
    <w:rsid w:val="006166D8"/>
    <w:rsid w:val="006207B8"/>
    <w:rsid w:val="00620D28"/>
    <w:rsid w:val="0062175E"/>
    <w:rsid w:val="0062258B"/>
    <w:rsid w:val="006229F4"/>
    <w:rsid w:val="00622CD6"/>
    <w:rsid w:val="006230EB"/>
    <w:rsid w:val="00623827"/>
    <w:rsid w:val="00623A5C"/>
    <w:rsid w:val="00623AC0"/>
    <w:rsid w:val="006244C9"/>
    <w:rsid w:val="00624EB4"/>
    <w:rsid w:val="00624FC7"/>
    <w:rsid w:val="00624FC8"/>
    <w:rsid w:val="00625575"/>
    <w:rsid w:val="006256CC"/>
    <w:rsid w:val="00625B95"/>
    <w:rsid w:val="00627A55"/>
    <w:rsid w:val="006302EB"/>
    <w:rsid w:val="00630A3C"/>
    <w:rsid w:val="00631307"/>
    <w:rsid w:val="00632971"/>
    <w:rsid w:val="00632BF7"/>
    <w:rsid w:val="00633943"/>
    <w:rsid w:val="00633E39"/>
    <w:rsid w:val="006347CD"/>
    <w:rsid w:val="00634F5F"/>
    <w:rsid w:val="00635451"/>
    <w:rsid w:val="00637F13"/>
    <w:rsid w:val="00640542"/>
    <w:rsid w:val="00641225"/>
    <w:rsid w:val="006412A7"/>
    <w:rsid w:val="0064274C"/>
    <w:rsid w:val="00642AA9"/>
    <w:rsid w:val="00642FCB"/>
    <w:rsid w:val="0064302D"/>
    <w:rsid w:val="006431B3"/>
    <w:rsid w:val="006432B3"/>
    <w:rsid w:val="006432B9"/>
    <w:rsid w:val="006433B8"/>
    <w:rsid w:val="00643794"/>
    <w:rsid w:val="00643934"/>
    <w:rsid w:val="00644B9E"/>
    <w:rsid w:val="00645C06"/>
    <w:rsid w:val="00645E86"/>
    <w:rsid w:val="0064641B"/>
    <w:rsid w:val="00646EE8"/>
    <w:rsid w:val="0064795F"/>
    <w:rsid w:val="006501C7"/>
    <w:rsid w:val="00650D85"/>
    <w:rsid w:val="0065155A"/>
    <w:rsid w:val="00651D3C"/>
    <w:rsid w:val="00652142"/>
    <w:rsid w:val="00652297"/>
    <w:rsid w:val="00652850"/>
    <w:rsid w:val="00653BAC"/>
    <w:rsid w:val="006541BC"/>
    <w:rsid w:val="006542E5"/>
    <w:rsid w:val="006544DC"/>
    <w:rsid w:val="00654697"/>
    <w:rsid w:val="00654D08"/>
    <w:rsid w:val="00655195"/>
    <w:rsid w:val="00655922"/>
    <w:rsid w:val="00655BCC"/>
    <w:rsid w:val="00657653"/>
    <w:rsid w:val="00657802"/>
    <w:rsid w:val="00657B93"/>
    <w:rsid w:val="00660A55"/>
    <w:rsid w:val="00661BA9"/>
    <w:rsid w:val="00662EA6"/>
    <w:rsid w:val="00663185"/>
    <w:rsid w:val="0066387D"/>
    <w:rsid w:val="00663CDF"/>
    <w:rsid w:val="00664807"/>
    <w:rsid w:val="00664E34"/>
    <w:rsid w:val="006660CD"/>
    <w:rsid w:val="0066664D"/>
    <w:rsid w:val="00666835"/>
    <w:rsid w:val="00666976"/>
    <w:rsid w:val="00666A02"/>
    <w:rsid w:val="00667064"/>
    <w:rsid w:val="0066740E"/>
    <w:rsid w:val="00667580"/>
    <w:rsid w:val="0066769D"/>
    <w:rsid w:val="00667797"/>
    <w:rsid w:val="00667A5E"/>
    <w:rsid w:val="00670863"/>
    <w:rsid w:val="00671CF4"/>
    <w:rsid w:val="006721C8"/>
    <w:rsid w:val="0067246D"/>
    <w:rsid w:val="00672490"/>
    <w:rsid w:val="00672726"/>
    <w:rsid w:val="00672F9E"/>
    <w:rsid w:val="0067367D"/>
    <w:rsid w:val="00673A42"/>
    <w:rsid w:val="00673BBD"/>
    <w:rsid w:val="00673BBF"/>
    <w:rsid w:val="00673C98"/>
    <w:rsid w:val="006747AF"/>
    <w:rsid w:val="00675371"/>
    <w:rsid w:val="006759BD"/>
    <w:rsid w:val="00675B10"/>
    <w:rsid w:val="00675B24"/>
    <w:rsid w:val="00676E32"/>
    <w:rsid w:val="00677A06"/>
    <w:rsid w:val="00677BD2"/>
    <w:rsid w:val="00677D58"/>
    <w:rsid w:val="00680EE6"/>
    <w:rsid w:val="00681B97"/>
    <w:rsid w:val="006833E8"/>
    <w:rsid w:val="006834ED"/>
    <w:rsid w:val="00684B5B"/>
    <w:rsid w:val="00684E3A"/>
    <w:rsid w:val="006855E1"/>
    <w:rsid w:val="00685AA4"/>
    <w:rsid w:val="00686301"/>
    <w:rsid w:val="006867EF"/>
    <w:rsid w:val="00686DD3"/>
    <w:rsid w:val="006874FE"/>
    <w:rsid w:val="00687BC1"/>
    <w:rsid w:val="00692371"/>
    <w:rsid w:val="00692B61"/>
    <w:rsid w:val="00692EB5"/>
    <w:rsid w:val="00692FC5"/>
    <w:rsid w:val="006947F5"/>
    <w:rsid w:val="0069504C"/>
    <w:rsid w:val="00695295"/>
    <w:rsid w:val="0069565E"/>
    <w:rsid w:val="00695A21"/>
    <w:rsid w:val="006962D1"/>
    <w:rsid w:val="006967C0"/>
    <w:rsid w:val="00696B05"/>
    <w:rsid w:val="0069715C"/>
    <w:rsid w:val="006971A6"/>
    <w:rsid w:val="00697389"/>
    <w:rsid w:val="00697A95"/>
    <w:rsid w:val="00697F8F"/>
    <w:rsid w:val="006A0694"/>
    <w:rsid w:val="006A0EC4"/>
    <w:rsid w:val="006A102E"/>
    <w:rsid w:val="006A1152"/>
    <w:rsid w:val="006A1318"/>
    <w:rsid w:val="006A1B3E"/>
    <w:rsid w:val="006A21E0"/>
    <w:rsid w:val="006A2565"/>
    <w:rsid w:val="006A261E"/>
    <w:rsid w:val="006A346F"/>
    <w:rsid w:val="006A34C5"/>
    <w:rsid w:val="006A34CB"/>
    <w:rsid w:val="006A48C6"/>
    <w:rsid w:val="006A4B14"/>
    <w:rsid w:val="006A4CEC"/>
    <w:rsid w:val="006A4D2C"/>
    <w:rsid w:val="006A50BE"/>
    <w:rsid w:val="006A5524"/>
    <w:rsid w:val="006A5C6F"/>
    <w:rsid w:val="006A6302"/>
    <w:rsid w:val="006A6355"/>
    <w:rsid w:val="006A6748"/>
    <w:rsid w:val="006A6E7B"/>
    <w:rsid w:val="006B175B"/>
    <w:rsid w:val="006B19F7"/>
    <w:rsid w:val="006B2B3A"/>
    <w:rsid w:val="006B3002"/>
    <w:rsid w:val="006B31A2"/>
    <w:rsid w:val="006B445B"/>
    <w:rsid w:val="006B48DF"/>
    <w:rsid w:val="006B7545"/>
    <w:rsid w:val="006B7972"/>
    <w:rsid w:val="006C030E"/>
    <w:rsid w:val="006C0317"/>
    <w:rsid w:val="006C05EE"/>
    <w:rsid w:val="006C0B50"/>
    <w:rsid w:val="006C0B89"/>
    <w:rsid w:val="006C0DFD"/>
    <w:rsid w:val="006C1C39"/>
    <w:rsid w:val="006C3842"/>
    <w:rsid w:val="006C3852"/>
    <w:rsid w:val="006C423E"/>
    <w:rsid w:val="006C431C"/>
    <w:rsid w:val="006C466E"/>
    <w:rsid w:val="006C5331"/>
    <w:rsid w:val="006C5662"/>
    <w:rsid w:val="006C6825"/>
    <w:rsid w:val="006C6EB0"/>
    <w:rsid w:val="006C6EF1"/>
    <w:rsid w:val="006C7188"/>
    <w:rsid w:val="006C7510"/>
    <w:rsid w:val="006C7A37"/>
    <w:rsid w:val="006D0F4C"/>
    <w:rsid w:val="006D10FE"/>
    <w:rsid w:val="006D1482"/>
    <w:rsid w:val="006D1795"/>
    <w:rsid w:val="006D1DFC"/>
    <w:rsid w:val="006D24F0"/>
    <w:rsid w:val="006D3079"/>
    <w:rsid w:val="006D30FF"/>
    <w:rsid w:val="006D3107"/>
    <w:rsid w:val="006D366A"/>
    <w:rsid w:val="006D3E23"/>
    <w:rsid w:val="006D4603"/>
    <w:rsid w:val="006D4C88"/>
    <w:rsid w:val="006D55B6"/>
    <w:rsid w:val="006D58BF"/>
    <w:rsid w:val="006D58F1"/>
    <w:rsid w:val="006D7890"/>
    <w:rsid w:val="006E0612"/>
    <w:rsid w:val="006E0CE2"/>
    <w:rsid w:val="006E1215"/>
    <w:rsid w:val="006E26D8"/>
    <w:rsid w:val="006E2948"/>
    <w:rsid w:val="006E2B2B"/>
    <w:rsid w:val="006E3066"/>
    <w:rsid w:val="006E36BB"/>
    <w:rsid w:val="006E3751"/>
    <w:rsid w:val="006E3978"/>
    <w:rsid w:val="006E4535"/>
    <w:rsid w:val="006E493A"/>
    <w:rsid w:val="006E4F5E"/>
    <w:rsid w:val="006E521A"/>
    <w:rsid w:val="006E5A5F"/>
    <w:rsid w:val="006E5AA6"/>
    <w:rsid w:val="006E6E8D"/>
    <w:rsid w:val="006E784B"/>
    <w:rsid w:val="006E7D9D"/>
    <w:rsid w:val="006F035E"/>
    <w:rsid w:val="006F08C4"/>
    <w:rsid w:val="006F0EDA"/>
    <w:rsid w:val="006F2062"/>
    <w:rsid w:val="006F2AF7"/>
    <w:rsid w:val="006F43A0"/>
    <w:rsid w:val="006F4B7C"/>
    <w:rsid w:val="006F4FBA"/>
    <w:rsid w:val="006F638A"/>
    <w:rsid w:val="006F6FAC"/>
    <w:rsid w:val="006F7CD1"/>
    <w:rsid w:val="00700AC9"/>
    <w:rsid w:val="007011E2"/>
    <w:rsid w:val="00701787"/>
    <w:rsid w:val="00704458"/>
    <w:rsid w:val="00704EC4"/>
    <w:rsid w:val="00705271"/>
    <w:rsid w:val="00706064"/>
    <w:rsid w:val="0070728E"/>
    <w:rsid w:val="0071039D"/>
    <w:rsid w:val="00710C75"/>
    <w:rsid w:val="00711AF0"/>
    <w:rsid w:val="00712289"/>
    <w:rsid w:val="00712394"/>
    <w:rsid w:val="00713299"/>
    <w:rsid w:val="00713706"/>
    <w:rsid w:val="007145FB"/>
    <w:rsid w:val="00714692"/>
    <w:rsid w:val="00714A4F"/>
    <w:rsid w:val="00714C85"/>
    <w:rsid w:val="00716573"/>
    <w:rsid w:val="00717E7F"/>
    <w:rsid w:val="007202DC"/>
    <w:rsid w:val="00721943"/>
    <w:rsid w:val="00721CE6"/>
    <w:rsid w:val="00721E50"/>
    <w:rsid w:val="00723E73"/>
    <w:rsid w:val="00724A43"/>
    <w:rsid w:val="00724D32"/>
    <w:rsid w:val="00724E94"/>
    <w:rsid w:val="00725BAC"/>
    <w:rsid w:val="00725CE7"/>
    <w:rsid w:val="0072603E"/>
    <w:rsid w:val="00726519"/>
    <w:rsid w:val="00726887"/>
    <w:rsid w:val="007268D6"/>
    <w:rsid w:val="00726BD1"/>
    <w:rsid w:val="00727319"/>
    <w:rsid w:val="00730184"/>
    <w:rsid w:val="00730587"/>
    <w:rsid w:val="00730AA6"/>
    <w:rsid w:val="007310F0"/>
    <w:rsid w:val="007311F6"/>
    <w:rsid w:val="00731249"/>
    <w:rsid w:val="007326C3"/>
    <w:rsid w:val="00732CA8"/>
    <w:rsid w:val="00733699"/>
    <w:rsid w:val="00733D07"/>
    <w:rsid w:val="007349B0"/>
    <w:rsid w:val="0073529A"/>
    <w:rsid w:val="007352D3"/>
    <w:rsid w:val="007354FF"/>
    <w:rsid w:val="00735BBF"/>
    <w:rsid w:val="00737429"/>
    <w:rsid w:val="007374C0"/>
    <w:rsid w:val="00737E5D"/>
    <w:rsid w:val="00740234"/>
    <w:rsid w:val="00741270"/>
    <w:rsid w:val="007412AD"/>
    <w:rsid w:val="00741893"/>
    <w:rsid w:val="00741AD3"/>
    <w:rsid w:val="00741B5D"/>
    <w:rsid w:val="00741DC1"/>
    <w:rsid w:val="00742350"/>
    <w:rsid w:val="00743290"/>
    <w:rsid w:val="00743FB1"/>
    <w:rsid w:val="0074430C"/>
    <w:rsid w:val="007447FB"/>
    <w:rsid w:val="00744A12"/>
    <w:rsid w:val="00745B12"/>
    <w:rsid w:val="00745FB2"/>
    <w:rsid w:val="0074693C"/>
    <w:rsid w:val="007473CB"/>
    <w:rsid w:val="00747E42"/>
    <w:rsid w:val="0075045F"/>
    <w:rsid w:val="00750FCB"/>
    <w:rsid w:val="00750FE4"/>
    <w:rsid w:val="007511F2"/>
    <w:rsid w:val="00752053"/>
    <w:rsid w:val="00752539"/>
    <w:rsid w:val="00753A79"/>
    <w:rsid w:val="00753C3E"/>
    <w:rsid w:val="00754CEF"/>
    <w:rsid w:val="00754E36"/>
    <w:rsid w:val="0075572F"/>
    <w:rsid w:val="0075674B"/>
    <w:rsid w:val="007575E3"/>
    <w:rsid w:val="00760658"/>
    <w:rsid w:val="0076096A"/>
    <w:rsid w:val="00760C7D"/>
    <w:rsid w:val="00761259"/>
    <w:rsid w:val="00761E17"/>
    <w:rsid w:val="0076269A"/>
    <w:rsid w:val="00763630"/>
    <w:rsid w:val="00763A37"/>
    <w:rsid w:val="00763E89"/>
    <w:rsid w:val="00763E92"/>
    <w:rsid w:val="007649CA"/>
    <w:rsid w:val="00764F2D"/>
    <w:rsid w:val="00764F4D"/>
    <w:rsid w:val="00765131"/>
    <w:rsid w:val="007659F4"/>
    <w:rsid w:val="00765CAC"/>
    <w:rsid w:val="00765F29"/>
    <w:rsid w:val="00765FC9"/>
    <w:rsid w:val="007666D8"/>
    <w:rsid w:val="007669F0"/>
    <w:rsid w:val="00767952"/>
    <w:rsid w:val="00767C4B"/>
    <w:rsid w:val="00767ED3"/>
    <w:rsid w:val="00767F82"/>
    <w:rsid w:val="00770063"/>
    <w:rsid w:val="0077043F"/>
    <w:rsid w:val="007727F1"/>
    <w:rsid w:val="007738B4"/>
    <w:rsid w:val="007742F5"/>
    <w:rsid w:val="00774E4E"/>
    <w:rsid w:val="007756C2"/>
    <w:rsid w:val="00775D52"/>
    <w:rsid w:val="0077673E"/>
    <w:rsid w:val="00776F67"/>
    <w:rsid w:val="00777EEB"/>
    <w:rsid w:val="00780532"/>
    <w:rsid w:val="00780724"/>
    <w:rsid w:val="00780768"/>
    <w:rsid w:val="00780D90"/>
    <w:rsid w:val="00780E5E"/>
    <w:rsid w:val="007811AE"/>
    <w:rsid w:val="007814B2"/>
    <w:rsid w:val="007819DE"/>
    <w:rsid w:val="00781E54"/>
    <w:rsid w:val="007829E5"/>
    <w:rsid w:val="00782E31"/>
    <w:rsid w:val="00783EA7"/>
    <w:rsid w:val="00784F3A"/>
    <w:rsid w:val="00787218"/>
    <w:rsid w:val="00787555"/>
    <w:rsid w:val="00787A01"/>
    <w:rsid w:val="00790482"/>
    <w:rsid w:val="007907D6"/>
    <w:rsid w:val="00791D15"/>
    <w:rsid w:val="00791D66"/>
    <w:rsid w:val="0079337A"/>
    <w:rsid w:val="007939C6"/>
    <w:rsid w:val="00793D88"/>
    <w:rsid w:val="007945C8"/>
    <w:rsid w:val="007945E6"/>
    <w:rsid w:val="00794DFA"/>
    <w:rsid w:val="0079506E"/>
    <w:rsid w:val="00795206"/>
    <w:rsid w:val="00795BBA"/>
    <w:rsid w:val="00796066"/>
    <w:rsid w:val="00796C25"/>
    <w:rsid w:val="00797616"/>
    <w:rsid w:val="007A0137"/>
    <w:rsid w:val="007A03EE"/>
    <w:rsid w:val="007A0EB9"/>
    <w:rsid w:val="007A166D"/>
    <w:rsid w:val="007A1CF7"/>
    <w:rsid w:val="007A2650"/>
    <w:rsid w:val="007A26E5"/>
    <w:rsid w:val="007A2802"/>
    <w:rsid w:val="007A3A29"/>
    <w:rsid w:val="007A4605"/>
    <w:rsid w:val="007A47E3"/>
    <w:rsid w:val="007A5833"/>
    <w:rsid w:val="007A58D2"/>
    <w:rsid w:val="007A593C"/>
    <w:rsid w:val="007A5963"/>
    <w:rsid w:val="007A5966"/>
    <w:rsid w:val="007A5CD0"/>
    <w:rsid w:val="007A5D9B"/>
    <w:rsid w:val="007A6048"/>
    <w:rsid w:val="007A6387"/>
    <w:rsid w:val="007A6450"/>
    <w:rsid w:val="007A711C"/>
    <w:rsid w:val="007B0435"/>
    <w:rsid w:val="007B0898"/>
    <w:rsid w:val="007B0D1D"/>
    <w:rsid w:val="007B0DDF"/>
    <w:rsid w:val="007B17EC"/>
    <w:rsid w:val="007B204C"/>
    <w:rsid w:val="007B211A"/>
    <w:rsid w:val="007B2769"/>
    <w:rsid w:val="007B2AEE"/>
    <w:rsid w:val="007B2CA0"/>
    <w:rsid w:val="007B366A"/>
    <w:rsid w:val="007B38FC"/>
    <w:rsid w:val="007B3E4F"/>
    <w:rsid w:val="007B48A9"/>
    <w:rsid w:val="007B4FEB"/>
    <w:rsid w:val="007B57E0"/>
    <w:rsid w:val="007B673D"/>
    <w:rsid w:val="007B6747"/>
    <w:rsid w:val="007B6A4A"/>
    <w:rsid w:val="007B6EFC"/>
    <w:rsid w:val="007B79A4"/>
    <w:rsid w:val="007C14AB"/>
    <w:rsid w:val="007C1A4A"/>
    <w:rsid w:val="007C21F2"/>
    <w:rsid w:val="007C24E1"/>
    <w:rsid w:val="007C2C06"/>
    <w:rsid w:val="007C3176"/>
    <w:rsid w:val="007C3358"/>
    <w:rsid w:val="007C373B"/>
    <w:rsid w:val="007C3753"/>
    <w:rsid w:val="007C39EB"/>
    <w:rsid w:val="007C3EB9"/>
    <w:rsid w:val="007C42B5"/>
    <w:rsid w:val="007C58C5"/>
    <w:rsid w:val="007C5F31"/>
    <w:rsid w:val="007C6970"/>
    <w:rsid w:val="007C775F"/>
    <w:rsid w:val="007C7C06"/>
    <w:rsid w:val="007C7D81"/>
    <w:rsid w:val="007D01AC"/>
    <w:rsid w:val="007D047F"/>
    <w:rsid w:val="007D08AA"/>
    <w:rsid w:val="007D0B9D"/>
    <w:rsid w:val="007D1810"/>
    <w:rsid w:val="007D2967"/>
    <w:rsid w:val="007D2BC1"/>
    <w:rsid w:val="007D2DD5"/>
    <w:rsid w:val="007D3080"/>
    <w:rsid w:val="007D34B1"/>
    <w:rsid w:val="007D4485"/>
    <w:rsid w:val="007D479B"/>
    <w:rsid w:val="007D4A57"/>
    <w:rsid w:val="007D6AE4"/>
    <w:rsid w:val="007D6F03"/>
    <w:rsid w:val="007D724F"/>
    <w:rsid w:val="007D7DA9"/>
    <w:rsid w:val="007E0068"/>
    <w:rsid w:val="007E09EF"/>
    <w:rsid w:val="007E0B68"/>
    <w:rsid w:val="007E0C01"/>
    <w:rsid w:val="007E1060"/>
    <w:rsid w:val="007E13B6"/>
    <w:rsid w:val="007E1495"/>
    <w:rsid w:val="007E16B5"/>
    <w:rsid w:val="007E1B31"/>
    <w:rsid w:val="007E211E"/>
    <w:rsid w:val="007E2187"/>
    <w:rsid w:val="007E2BAE"/>
    <w:rsid w:val="007E2FC8"/>
    <w:rsid w:val="007E34F5"/>
    <w:rsid w:val="007E3A8D"/>
    <w:rsid w:val="007E516E"/>
    <w:rsid w:val="007E5E7C"/>
    <w:rsid w:val="007E60BD"/>
    <w:rsid w:val="007E628F"/>
    <w:rsid w:val="007E62E7"/>
    <w:rsid w:val="007E641A"/>
    <w:rsid w:val="007E689B"/>
    <w:rsid w:val="007F0007"/>
    <w:rsid w:val="007F02DD"/>
    <w:rsid w:val="007F0EBC"/>
    <w:rsid w:val="007F152B"/>
    <w:rsid w:val="007F29ED"/>
    <w:rsid w:val="007F41EC"/>
    <w:rsid w:val="007F48DB"/>
    <w:rsid w:val="007F496A"/>
    <w:rsid w:val="007F4EF8"/>
    <w:rsid w:val="007F5DBD"/>
    <w:rsid w:val="007F6E9F"/>
    <w:rsid w:val="007F6F50"/>
    <w:rsid w:val="007F7824"/>
    <w:rsid w:val="00800917"/>
    <w:rsid w:val="00801113"/>
    <w:rsid w:val="0080191B"/>
    <w:rsid w:val="00802647"/>
    <w:rsid w:val="0080265D"/>
    <w:rsid w:val="00802CE0"/>
    <w:rsid w:val="00802D99"/>
    <w:rsid w:val="00803096"/>
    <w:rsid w:val="008039C6"/>
    <w:rsid w:val="00803B61"/>
    <w:rsid w:val="008044F9"/>
    <w:rsid w:val="00804C1A"/>
    <w:rsid w:val="00804D07"/>
    <w:rsid w:val="00804D49"/>
    <w:rsid w:val="00804F9D"/>
    <w:rsid w:val="00806CB9"/>
    <w:rsid w:val="00806F2F"/>
    <w:rsid w:val="008101CB"/>
    <w:rsid w:val="0081031E"/>
    <w:rsid w:val="008103BF"/>
    <w:rsid w:val="008104B7"/>
    <w:rsid w:val="0081248B"/>
    <w:rsid w:val="00812C8A"/>
    <w:rsid w:val="00812FA3"/>
    <w:rsid w:val="008147A8"/>
    <w:rsid w:val="0081494C"/>
    <w:rsid w:val="008149A6"/>
    <w:rsid w:val="00815281"/>
    <w:rsid w:val="008157F1"/>
    <w:rsid w:val="00815BFD"/>
    <w:rsid w:val="0081783E"/>
    <w:rsid w:val="00820916"/>
    <w:rsid w:val="00820C56"/>
    <w:rsid w:val="00821072"/>
    <w:rsid w:val="00821351"/>
    <w:rsid w:val="00821BBB"/>
    <w:rsid w:val="00823904"/>
    <w:rsid w:val="00824317"/>
    <w:rsid w:val="00824A1E"/>
    <w:rsid w:val="00825423"/>
    <w:rsid w:val="00825B36"/>
    <w:rsid w:val="008261DE"/>
    <w:rsid w:val="008301D6"/>
    <w:rsid w:val="00830BB2"/>
    <w:rsid w:val="00831111"/>
    <w:rsid w:val="008315AA"/>
    <w:rsid w:val="00831888"/>
    <w:rsid w:val="00831FAE"/>
    <w:rsid w:val="00832BAF"/>
    <w:rsid w:val="00832EB2"/>
    <w:rsid w:val="008330AE"/>
    <w:rsid w:val="008337F8"/>
    <w:rsid w:val="00833D46"/>
    <w:rsid w:val="00833F25"/>
    <w:rsid w:val="00835035"/>
    <w:rsid w:val="008355E6"/>
    <w:rsid w:val="0083619F"/>
    <w:rsid w:val="00836DCC"/>
    <w:rsid w:val="008371C8"/>
    <w:rsid w:val="008372FA"/>
    <w:rsid w:val="00837A28"/>
    <w:rsid w:val="00840C47"/>
    <w:rsid w:val="008410C6"/>
    <w:rsid w:val="0084128C"/>
    <w:rsid w:val="00842094"/>
    <w:rsid w:val="0084272D"/>
    <w:rsid w:val="00842806"/>
    <w:rsid w:val="0084284D"/>
    <w:rsid w:val="00842CCA"/>
    <w:rsid w:val="00843609"/>
    <w:rsid w:val="00843B6C"/>
    <w:rsid w:val="00843DCD"/>
    <w:rsid w:val="0084405E"/>
    <w:rsid w:val="0084434C"/>
    <w:rsid w:val="008447E3"/>
    <w:rsid w:val="008448E7"/>
    <w:rsid w:val="00844C1D"/>
    <w:rsid w:val="008453AE"/>
    <w:rsid w:val="00845643"/>
    <w:rsid w:val="00845A3F"/>
    <w:rsid w:val="00845CE4"/>
    <w:rsid w:val="00845F60"/>
    <w:rsid w:val="00846080"/>
    <w:rsid w:val="00847E55"/>
    <w:rsid w:val="00851534"/>
    <w:rsid w:val="00851C1E"/>
    <w:rsid w:val="00851D7E"/>
    <w:rsid w:val="00852303"/>
    <w:rsid w:val="00852969"/>
    <w:rsid w:val="00852BF0"/>
    <w:rsid w:val="008548CD"/>
    <w:rsid w:val="0085501C"/>
    <w:rsid w:val="0085554B"/>
    <w:rsid w:val="00855924"/>
    <w:rsid w:val="008562F1"/>
    <w:rsid w:val="008567CA"/>
    <w:rsid w:val="00857F99"/>
    <w:rsid w:val="00860991"/>
    <w:rsid w:val="00860A37"/>
    <w:rsid w:val="008612B1"/>
    <w:rsid w:val="00861B4B"/>
    <w:rsid w:val="008620D4"/>
    <w:rsid w:val="00862694"/>
    <w:rsid w:val="00862C9A"/>
    <w:rsid w:val="00863BBC"/>
    <w:rsid w:val="008641DA"/>
    <w:rsid w:val="0087029E"/>
    <w:rsid w:val="008707F7"/>
    <w:rsid w:val="0087081B"/>
    <w:rsid w:val="0087123B"/>
    <w:rsid w:val="0087126B"/>
    <w:rsid w:val="00871533"/>
    <w:rsid w:val="008726DF"/>
    <w:rsid w:val="00872B80"/>
    <w:rsid w:val="00872ED5"/>
    <w:rsid w:val="0087303F"/>
    <w:rsid w:val="00873713"/>
    <w:rsid w:val="00873889"/>
    <w:rsid w:val="00874ED8"/>
    <w:rsid w:val="008753C5"/>
    <w:rsid w:val="0087585E"/>
    <w:rsid w:val="00875861"/>
    <w:rsid w:val="00875C48"/>
    <w:rsid w:val="0087611E"/>
    <w:rsid w:val="00876BA7"/>
    <w:rsid w:val="0087724D"/>
    <w:rsid w:val="008803E9"/>
    <w:rsid w:val="008806AD"/>
    <w:rsid w:val="0088075C"/>
    <w:rsid w:val="00880F52"/>
    <w:rsid w:val="008816F9"/>
    <w:rsid w:val="00881BEE"/>
    <w:rsid w:val="00881EDE"/>
    <w:rsid w:val="00881FB4"/>
    <w:rsid w:val="00882352"/>
    <w:rsid w:val="00882896"/>
    <w:rsid w:val="00882C20"/>
    <w:rsid w:val="00882D09"/>
    <w:rsid w:val="008831FE"/>
    <w:rsid w:val="00883530"/>
    <w:rsid w:val="00883606"/>
    <w:rsid w:val="00883FB1"/>
    <w:rsid w:val="00884813"/>
    <w:rsid w:val="00884BDA"/>
    <w:rsid w:val="0088501F"/>
    <w:rsid w:val="008856F9"/>
    <w:rsid w:val="00886385"/>
    <w:rsid w:val="00886831"/>
    <w:rsid w:val="00886A8C"/>
    <w:rsid w:val="00886CB8"/>
    <w:rsid w:val="00887293"/>
    <w:rsid w:val="00890239"/>
    <w:rsid w:val="00890E91"/>
    <w:rsid w:val="00891CEA"/>
    <w:rsid w:val="00891F70"/>
    <w:rsid w:val="00893270"/>
    <w:rsid w:val="00893EB7"/>
    <w:rsid w:val="00894170"/>
    <w:rsid w:val="00894387"/>
    <w:rsid w:val="00894460"/>
    <w:rsid w:val="00894D19"/>
    <w:rsid w:val="00895E7D"/>
    <w:rsid w:val="0089601E"/>
    <w:rsid w:val="0089659F"/>
    <w:rsid w:val="008969F7"/>
    <w:rsid w:val="00896C37"/>
    <w:rsid w:val="00897781"/>
    <w:rsid w:val="00897AEC"/>
    <w:rsid w:val="008A04DD"/>
    <w:rsid w:val="008A0546"/>
    <w:rsid w:val="008A0829"/>
    <w:rsid w:val="008A238F"/>
    <w:rsid w:val="008A27DC"/>
    <w:rsid w:val="008A30E8"/>
    <w:rsid w:val="008A3BE9"/>
    <w:rsid w:val="008A3D53"/>
    <w:rsid w:val="008A3D88"/>
    <w:rsid w:val="008A44A8"/>
    <w:rsid w:val="008A44EC"/>
    <w:rsid w:val="008A4D86"/>
    <w:rsid w:val="008A4F05"/>
    <w:rsid w:val="008A5212"/>
    <w:rsid w:val="008A57E9"/>
    <w:rsid w:val="008A5817"/>
    <w:rsid w:val="008A5A61"/>
    <w:rsid w:val="008A6BE5"/>
    <w:rsid w:val="008A6CE9"/>
    <w:rsid w:val="008A7598"/>
    <w:rsid w:val="008A7E43"/>
    <w:rsid w:val="008B0387"/>
    <w:rsid w:val="008B1060"/>
    <w:rsid w:val="008B1CE5"/>
    <w:rsid w:val="008B218D"/>
    <w:rsid w:val="008B53C8"/>
    <w:rsid w:val="008B542E"/>
    <w:rsid w:val="008B553E"/>
    <w:rsid w:val="008B5A1B"/>
    <w:rsid w:val="008B60DE"/>
    <w:rsid w:val="008B6871"/>
    <w:rsid w:val="008B6F6B"/>
    <w:rsid w:val="008B7954"/>
    <w:rsid w:val="008B7C45"/>
    <w:rsid w:val="008C02A0"/>
    <w:rsid w:val="008C1B8C"/>
    <w:rsid w:val="008C2737"/>
    <w:rsid w:val="008C29E0"/>
    <w:rsid w:val="008C2A5D"/>
    <w:rsid w:val="008C37C9"/>
    <w:rsid w:val="008C3E19"/>
    <w:rsid w:val="008C3E4C"/>
    <w:rsid w:val="008C45A6"/>
    <w:rsid w:val="008C47A6"/>
    <w:rsid w:val="008C4B83"/>
    <w:rsid w:val="008C62D2"/>
    <w:rsid w:val="008C6963"/>
    <w:rsid w:val="008C6BD8"/>
    <w:rsid w:val="008C74B9"/>
    <w:rsid w:val="008C76DA"/>
    <w:rsid w:val="008C7968"/>
    <w:rsid w:val="008D1BE9"/>
    <w:rsid w:val="008D2004"/>
    <w:rsid w:val="008D295C"/>
    <w:rsid w:val="008D2EBC"/>
    <w:rsid w:val="008D313B"/>
    <w:rsid w:val="008D35A5"/>
    <w:rsid w:val="008D4AC5"/>
    <w:rsid w:val="008D4F4E"/>
    <w:rsid w:val="008D4F86"/>
    <w:rsid w:val="008D4FEE"/>
    <w:rsid w:val="008D5094"/>
    <w:rsid w:val="008D50FD"/>
    <w:rsid w:val="008D555F"/>
    <w:rsid w:val="008D5AEA"/>
    <w:rsid w:val="008D5B6E"/>
    <w:rsid w:val="008D6904"/>
    <w:rsid w:val="008D7578"/>
    <w:rsid w:val="008E0904"/>
    <w:rsid w:val="008E14E8"/>
    <w:rsid w:val="008E1A47"/>
    <w:rsid w:val="008E2417"/>
    <w:rsid w:val="008E25DA"/>
    <w:rsid w:val="008E2E4F"/>
    <w:rsid w:val="008E39E4"/>
    <w:rsid w:val="008E3C17"/>
    <w:rsid w:val="008E3FA4"/>
    <w:rsid w:val="008E4328"/>
    <w:rsid w:val="008E5437"/>
    <w:rsid w:val="008E570C"/>
    <w:rsid w:val="008E584F"/>
    <w:rsid w:val="008E6BE2"/>
    <w:rsid w:val="008E74CD"/>
    <w:rsid w:val="008F0565"/>
    <w:rsid w:val="008F058D"/>
    <w:rsid w:val="008F0B98"/>
    <w:rsid w:val="008F1D09"/>
    <w:rsid w:val="008F27D7"/>
    <w:rsid w:val="008F2B70"/>
    <w:rsid w:val="008F3809"/>
    <w:rsid w:val="008F3D69"/>
    <w:rsid w:val="008F4454"/>
    <w:rsid w:val="008F4A29"/>
    <w:rsid w:val="008F4AB6"/>
    <w:rsid w:val="008F4C13"/>
    <w:rsid w:val="008F51E9"/>
    <w:rsid w:val="008F54A7"/>
    <w:rsid w:val="008F5EA8"/>
    <w:rsid w:val="008F6C9E"/>
    <w:rsid w:val="008F6DA6"/>
    <w:rsid w:val="008F75F6"/>
    <w:rsid w:val="008F7810"/>
    <w:rsid w:val="00900350"/>
    <w:rsid w:val="009008EE"/>
    <w:rsid w:val="00900E5B"/>
    <w:rsid w:val="009013AA"/>
    <w:rsid w:val="009017C6"/>
    <w:rsid w:val="00902142"/>
    <w:rsid w:val="009022A0"/>
    <w:rsid w:val="009022A2"/>
    <w:rsid w:val="009024DA"/>
    <w:rsid w:val="0090278E"/>
    <w:rsid w:val="00902996"/>
    <w:rsid w:val="0090301B"/>
    <w:rsid w:val="00904231"/>
    <w:rsid w:val="0090456F"/>
    <w:rsid w:val="00904D0E"/>
    <w:rsid w:val="00905910"/>
    <w:rsid w:val="0090634B"/>
    <w:rsid w:val="009064BC"/>
    <w:rsid w:val="00910E69"/>
    <w:rsid w:val="00911D83"/>
    <w:rsid w:val="00912B51"/>
    <w:rsid w:val="009152F2"/>
    <w:rsid w:val="009157DD"/>
    <w:rsid w:val="00915850"/>
    <w:rsid w:val="00915C83"/>
    <w:rsid w:val="0091646F"/>
    <w:rsid w:val="00916950"/>
    <w:rsid w:val="00916AA5"/>
    <w:rsid w:val="00916E0E"/>
    <w:rsid w:val="009170FB"/>
    <w:rsid w:val="00920269"/>
    <w:rsid w:val="00921014"/>
    <w:rsid w:val="00921198"/>
    <w:rsid w:val="00921354"/>
    <w:rsid w:val="00921CF0"/>
    <w:rsid w:val="00922F6F"/>
    <w:rsid w:val="0092300B"/>
    <w:rsid w:val="0092339C"/>
    <w:rsid w:val="009234AA"/>
    <w:rsid w:val="00924606"/>
    <w:rsid w:val="00924C94"/>
    <w:rsid w:val="009250A0"/>
    <w:rsid w:val="009253B0"/>
    <w:rsid w:val="00925D15"/>
    <w:rsid w:val="00926412"/>
    <w:rsid w:val="0092650E"/>
    <w:rsid w:val="00926BAA"/>
    <w:rsid w:val="00926D11"/>
    <w:rsid w:val="00927883"/>
    <w:rsid w:val="00930173"/>
    <w:rsid w:val="009302CA"/>
    <w:rsid w:val="00930BF4"/>
    <w:rsid w:val="00930D71"/>
    <w:rsid w:val="009314B7"/>
    <w:rsid w:val="0093246B"/>
    <w:rsid w:val="00932A91"/>
    <w:rsid w:val="00933D59"/>
    <w:rsid w:val="00934A5F"/>
    <w:rsid w:val="00934FC0"/>
    <w:rsid w:val="00935118"/>
    <w:rsid w:val="009357E2"/>
    <w:rsid w:val="00935FD2"/>
    <w:rsid w:val="00935FEF"/>
    <w:rsid w:val="0093652F"/>
    <w:rsid w:val="009369C3"/>
    <w:rsid w:val="00936A28"/>
    <w:rsid w:val="00937384"/>
    <w:rsid w:val="0094003E"/>
    <w:rsid w:val="009403F2"/>
    <w:rsid w:val="0094078A"/>
    <w:rsid w:val="009416FF"/>
    <w:rsid w:val="0094188A"/>
    <w:rsid w:val="00942420"/>
    <w:rsid w:val="009427B7"/>
    <w:rsid w:val="00942ED8"/>
    <w:rsid w:val="00943DE0"/>
    <w:rsid w:val="00944029"/>
    <w:rsid w:val="009445F2"/>
    <w:rsid w:val="009454CC"/>
    <w:rsid w:val="00946078"/>
    <w:rsid w:val="0094611E"/>
    <w:rsid w:val="009462CD"/>
    <w:rsid w:val="00946CB4"/>
    <w:rsid w:val="00946EDD"/>
    <w:rsid w:val="00946EE5"/>
    <w:rsid w:val="00947A1A"/>
    <w:rsid w:val="009501A6"/>
    <w:rsid w:val="00950392"/>
    <w:rsid w:val="0095076B"/>
    <w:rsid w:val="00951F64"/>
    <w:rsid w:val="009524F1"/>
    <w:rsid w:val="00953671"/>
    <w:rsid w:val="00953825"/>
    <w:rsid w:val="009539BE"/>
    <w:rsid w:val="00953F5D"/>
    <w:rsid w:val="00954219"/>
    <w:rsid w:val="00954A85"/>
    <w:rsid w:val="00954E60"/>
    <w:rsid w:val="00955ACF"/>
    <w:rsid w:val="00956B81"/>
    <w:rsid w:val="00956FCA"/>
    <w:rsid w:val="00957EBD"/>
    <w:rsid w:val="00960D3B"/>
    <w:rsid w:val="0096127E"/>
    <w:rsid w:val="009614F3"/>
    <w:rsid w:val="0096229E"/>
    <w:rsid w:val="009636B2"/>
    <w:rsid w:val="00963DB3"/>
    <w:rsid w:val="00964F1C"/>
    <w:rsid w:val="00965240"/>
    <w:rsid w:val="00966093"/>
    <w:rsid w:val="00966317"/>
    <w:rsid w:val="009667D5"/>
    <w:rsid w:val="00966828"/>
    <w:rsid w:val="009671B6"/>
    <w:rsid w:val="00967B24"/>
    <w:rsid w:val="009702D5"/>
    <w:rsid w:val="00970EDD"/>
    <w:rsid w:val="0097114D"/>
    <w:rsid w:val="0097133F"/>
    <w:rsid w:val="00972716"/>
    <w:rsid w:val="00973747"/>
    <w:rsid w:val="009743CB"/>
    <w:rsid w:val="009752B7"/>
    <w:rsid w:val="009759D6"/>
    <w:rsid w:val="00976028"/>
    <w:rsid w:val="00976294"/>
    <w:rsid w:val="009804C6"/>
    <w:rsid w:val="00980C15"/>
    <w:rsid w:val="00980DEA"/>
    <w:rsid w:val="00980EB9"/>
    <w:rsid w:val="00981242"/>
    <w:rsid w:val="009834F7"/>
    <w:rsid w:val="009834FA"/>
    <w:rsid w:val="009838AB"/>
    <w:rsid w:val="00983AAE"/>
    <w:rsid w:val="00983B14"/>
    <w:rsid w:val="00983EFB"/>
    <w:rsid w:val="00984897"/>
    <w:rsid w:val="0098490C"/>
    <w:rsid w:val="0098495D"/>
    <w:rsid w:val="00984F9C"/>
    <w:rsid w:val="009852D4"/>
    <w:rsid w:val="00985A56"/>
    <w:rsid w:val="00986598"/>
    <w:rsid w:val="00986634"/>
    <w:rsid w:val="0098779F"/>
    <w:rsid w:val="009879FE"/>
    <w:rsid w:val="00987D6D"/>
    <w:rsid w:val="00990334"/>
    <w:rsid w:val="00990D57"/>
    <w:rsid w:val="0099168D"/>
    <w:rsid w:val="00992206"/>
    <w:rsid w:val="009924FD"/>
    <w:rsid w:val="00992E6D"/>
    <w:rsid w:val="009946B3"/>
    <w:rsid w:val="00994CDF"/>
    <w:rsid w:val="00995A7C"/>
    <w:rsid w:val="00995B52"/>
    <w:rsid w:val="00995BF1"/>
    <w:rsid w:val="009970B2"/>
    <w:rsid w:val="0099756D"/>
    <w:rsid w:val="009977D7"/>
    <w:rsid w:val="00997CC8"/>
    <w:rsid w:val="009A0124"/>
    <w:rsid w:val="009A0276"/>
    <w:rsid w:val="009A0B0E"/>
    <w:rsid w:val="009A0E3D"/>
    <w:rsid w:val="009A144A"/>
    <w:rsid w:val="009A1B2C"/>
    <w:rsid w:val="009A1E61"/>
    <w:rsid w:val="009A218F"/>
    <w:rsid w:val="009A21D6"/>
    <w:rsid w:val="009A22C5"/>
    <w:rsid w:val="009A24D9"/>
    <w:rsid w:val="009A250F"/>
    <w:rsid w:val="009A287A"/>
    <w:rsid w:val="009A2ACD"/>
    <w:rsid w:val="009A2AD4"/>
    <w:rsid w:val="009A3103"/>
    <w:rsid w:val="009A32BE"/>
    <w:rsid w:val="009A38E7"/>
    <w:rsid w:val="009A415D"/>
    <w:rsid w:val="009A48E8"/>
    <w:rsid w:val="009A5D65"/>
    <w:rsid w:val="009A65BA"/>
    <w:rsid w:val="009A68C8"/>
    <w:rsid w:val="009A6D06"/>
    <w:rsid w:val="009A72B3"/>
    <w:rsid w:val="009A7869"/>
    <w:rsid w:val="009B0312"/>
    <w:rsid w:val="009B0FF6"/>
    <w:rsid w:val="009B1200"/>
    <w:rsid w:val="009B18D4"/>
    <w:rsid w:val="009B1D9F"/>
    <w:rsid w:val="009B1EE5"/>
    <w:rsid w:val="009B21E6"/>
    <w:rsid w:val="009B248E"/>
    <w:rsid w:val="009B30CF"/>
    <w:rsid w:val="009B52C9"/>
    <w:rsid w:val="009B5AF1"/>
    <w:rsid w:val="009B5E04"/>
    <w:rsid w:val="009B66CA"/>
    <w:rsid w:val="009B6DF5"/>
    <w:rsid w:val="009B7783"/>
    <w:rsid w:val="009B7ACB"/>
    <w:rsid w:val="009B7DCD"/>
    <w:rsid w:val="009C0D10"/>
    <w:rsid w:val="009C0E67"/>
    <w:rsid w:val="009C15B5"/>
    <w:rsid w:val="009C1B0E"/>
    <w:rsid w:val="009C1EE9"/>
    <w:rsid w:val="009C20F7"/>
    <w:rsid w:val="009C2109"/>
    <w:rsid w:val="009C2130"/>
    <w:rsid w:val="009C46A4"/>
    <w:rsid w:val="009C4A76"/>
    <w:rsid w:val="009C5C4A"/>
    <w:rsid w:val="009C6161"/>
    <w:rsid w:val="009C61AB"/>
    <w:rsid w:val="009C69CA"/>
    <w:rsid w:val="009C7261"/>
    <w:rsid w:val="009D00F7"/>
    <w:rsid w:val="009D04C9"/>
    <w:rsid w:val="009D0D7C"/>
    <w:rsid w:val="009D132F"/>
    <w:rsid w:val="009D1398"/>
    <w:rsid w:val="009D1448"/>
    <w:rsid w:val="009D145C"/>
    <w:rsid w:val="009D157A"/>
    <w:rsid w:val="009D18FC"/>
    <w:rsid w:val="009D1D06"/>
    <w:rsid w:val="009D2058"/>
    <w:rsid w:val="009D298F"/>
    <w:rsid w:val="009D308A"/>
    <w:rsid w:val="009D335B"/>
    <w:rsid w:val="009D46D0"/>
    <w:rsid w:val="009D4776"/>
    <w:rsid w:val="009D4C67"/>
    <w:rsid w:val="009D4D27"/>
    <w:rsid w:val="009D5432"/>
    <w:rsid w:val="009D5F34"/>
    <w:rsid w:val="009D7F6A"/>
    <w:rsid w:val="009E077E"/>
    <w:rsid w:val="009E22BF"/>
    <w:rsid w:val="009E316F"/>
    <w:rsid w:val="009E34A3"/>
    <w:rsid w:val="009E3B4E"/>
    <w:rsid w:val="009E3D93"/>
    <w:rsid w:val="009E4100"/>
    <w:rsid w:val="009E4700"/>
    <w:rsid w:val="009E508C"/>
    <w:rsid w:val="009E5E7C"/>
    <w:rsid w:val="009F06EB"/>
    <w:rsid w:val="009F1D16"/>
    <w:rsid w:val="009F24BB"/>
    <w:rsid w:val="009F4B4B"/>
    <w:rsid w:val="009F4E4E"/>
    <w:rsid w:val="009F5163"/>
    <w:rsid w:val="009F525C"/>
    <w:rsid w:val="009F537D"/>
    <w:rsid w:val="009F5468"/>
    <w:rsid w:val="009F5931"/>
    <w:rsid w:val="009F59A7"/>
    <w:rsid w:val="009F5FF8"/>
    <w:rsid w:val="009F695F"/>
    <w:rsid w:val="009F6AF8"/>
    <w:rsid w:val="009F6F83"/>
    <w:rsid w:val="009F7A07"/>
    <w:rsid w:val="00A00153"/>
    <w:rsid w:val="00A00238"/>
    <w:rsid w:val="00A00DCE"/>
    <w:rsid w:val="00A00E1A"/>
    <w:rsid w:val="00A01042"/>
    <w:rsid w:val="00A015A8"/>
    <w:rsid w:val="00A017EB"/>
    <w:rsid w:val="00A02269"/>
    <w:rsid w:val="00A027E1"/>
    <w:rsid w:val="00A02C34"/>
    <w:rsid w:val="00A03152"/>
    <w:rsid w:val="00A03180"/>
    <w:rsid w:val="00A03BE2"/>
    <w:rsid w:val="00A03DF6"/>
    <w:rsid w:val="00A04D5C"/>
    <w:rsid w:val="00A04D71"/>
    <w:rsid w:val="00A0538A"/>
    <w:rsid w:val="00A05604"/>
    <w:rsid w:val="00A05729"/>
    <w:rsid w:val="00A05A8B"/>
    <w:rsid w:val="00A05E0A"/>
    <w:rsid w:val="00A06BAF"/>
    <w:rsid w:val="00A074C3"/>
    <w:rsid w:val="00A106E9"/>
    <w:rsid w:val="00A10A37"/>
    <w:rsid w:val="00A10D63"/>
    <w:rsid w:val="00A110C0"/>
    <w:rsid w:val="00A12D03"/>
    <w:rsid w:val="00A12E82"/>
    <w:rsid w:val="00A13867"/>
    <w:rsid w:val="00A13CA7"/>
    <w:rsid w:val="00A13CAE"/>
    <w:rsid w:val="00A16F20"/>
    <w:rsid w:val="00A1721D"/>
    <w:rsid w:val="00A17F7D"/>
    <w:rsid w:val="00A20186"/>
    <w:rsid w:val="00A20274"/>
    <w:rsid w:val="00A20325"/>
    <w:rsid w:val="00A20F82"/>
    <w:rsid w:val="00A2131A"/>
    <w:rsid w:val="00A2248E"/>
    <w:rsid w:val="00A22A99"/>
    <w:rsid w:val="00A233B6"/>
    <w:rsid w:val="00A236BB"/>
    <w:rsid w:val="00A244A6"/>
    <w:rsid w:val="00A24E13"/>
    <w:rsid w:val="00A24E4B"/>
    <w:rsid w:val="00A24F56"/>
    <w:rsid w:val="00A25354"/>
    <w:rsid w:val="00A25F51"/>
    <w:rsid w:val="00A26F03"/>
    <w:rsid w:val="00A26FB5"/>
    <w:rsid w:val="00A27A94"/>
    <w:rsid w:val="00A27C36"/>
    <w:rsid w:val="00A30A9E"/>
    <w:rsid w:val="00A30F8F"/>
    <w:rsid w:val="00A32396"/>
    <w:rsid w:val="00A32CCD"/>
    <w:rsid w:val="00A34796"/>
    <w:rsid w:val="00A354BF"/>
    <w:rsid w:val="00A355AE"/>
    <w:rsid w:val="00A3644A"/>
    <w:rsid w:val="00A36CF0"/>
    <w:rsid w:val="00A37ECC"/>
    <w:rsid w:val="00A40228"/>
    <w:rsid w:val="00A40DE9"/>
    <w:rsid w:val="00A41353"/>
    <w:rsid w:val="00A4163A"/>
    <w:rsid w:val="00A41655"/>
    <w:rsid w:val="00A41830"/>
    <w:rsid w:val="00A41E8D"/>
    <w:rsid w:val="00A42146"/>
    <w:rsid w:val="00A42684"/>
    <w:rsid w:val="00A42758"/>
    <w:rsid w:val="00A42A89"/>
    <w:rsid w:val="00A43075"/>
    <w:rsid w:val="00A43570"/>
    <w:rsid w:val="00A43C2C"/>
    <w:rsid w:val="00A43D9B"/>
    <w:rsid w:val="00A43E96"/>
    <w:rsid w:val="00A44272"/>
    <w:rsid w:val="00A449D4"/>
    <w:rsid w:val="00A45516"/>
    <w:rsid w:val="00A45D2E"/>
    <w:rsid w:val="00A45E2E"/>
    <w:rsid w:val="00A460C4"/>
    <w:rsid w:val="00A472C1"/>
    <w:rsid w:val="00A47406"/>
    <w:rsid w:val="00A47432"/>
    <w:rsid w:val="00A476CC"/>
    <w:rsid w:val="00A4782E"/>
    <w:rsid w:val="00A5070B"/>
    <w:rsid w:val="00A50C7F"/>
    <w:rsid w:val="00A51157"/>
    <w:rsid w:val="00A529C8"/>
    <w:rsid w:val="00A52A69"/>
    <w:rsid w:val="00A535E2"/>
    <w:rsid w:val="00A548DB"/>
    <w:rsid w:val="00A552CA"/>
    <w:rsid w:val="00A55D45"/>
    <w:rsid w:val="00A55F47"/>
    <w:rsid w:val="00A56117"/>
    <w:rsid w:val="00A56337"/>
    <w:rsid w:val="00A56411"/>
    <w:rsid w:val="00A56448"/>
    <w:rsid w:val="00A56480"/>
    <w:rsid w:val="00A56BB3"/>
    <w:rsid w:val="00A57287"/>
    <w:rsid w:val="00A57323"/>
    <w:rsid w:val="00A57585"/>
    <w:rsid w:val="00A57706"/>
    <w:rsid w:val="00A577E7"/>
    <w:rsid w:val="00A605E6"/>
    <w:rsid w:val="00A610CF"/>
    <w:rsid w:val="00A6165F"/>
    <w:rsid w:val="00A61E47"/>
    <w:rsid w:val="00A6244F"/>
    <w:rsid w:val="00A6252B"/>
    <w:rsid w:val="00A6281C"/>
    <w:rsid w:val="00A62D2C"/>
    <w:rsid w:val="00A6350F"/>
    <w:rsid w:val="00A636EF"/>
    <w:rsid w:val="00A64226"/>
    <w:rsid w:val="00A64EFB"/>
    <w:rsid w:val="00A65219"/>
    <w:rsid w:val="00A6532A"/>
    <w:rsid w:val="00A654FE"/>
    <w:rsid w:val="00A658E4"/>
    <w:rsid w:val="00A66058"/>
    <w:rsid w:val="00A662C3"/>
    <w:rsid w:val="00A66B8B"/>
    <w:rsid w:val="00A67528"/>
    <w:rsid w:val="00A6794A"/>
    <w:rsid w:val="00A67B45"/>
    <w:rsid w:val="00A7042C"/>
    <w:rsid w:val="00A705B8"/>
    <w:rsid w:val="00A70857"/>
    <w:rsid w:val="00A70C4E"/>
    <w:rsid w:val="00A71196"/>
    <w:rsid w:val="00A7275B"/>
    <w:rsid w:val="00A72892"/>
    <w:rsid w:val="00A72AB9"/>
    <w:rsid w:val="00A736FF"/>
    <w:rsid w:val="00A743BB"/>
    <w:rsid w:val="00A7484F"/>
    <w:rsid w:val="00A74EAC"/>
    <w:rsid w:val="00A750B2"/>
    <w:rsid w:val="00A755E9"/>
    <w:rsid w:val="00A75CD6"/>
    <w:rsid w:val="00A7662F"/>
    <w:rsid w:val="00A7690B"/>
    <w:rsid w:val="00A77452"/>
    <w:rsid w:val="00A77C60"/>
    <w:rsid w:val="00A803E7"/>
    <w:rsid w:val="00A805D2"/>
    <w:rsid w:val="00A807FF"/>
    <w:rsid w:val="00A80A9D"/>
    <w:rsid w:val="00A8176B"/>
    <w:rsid w:val="00A819CF"/>
    <w:rsid w:val="00A8201A"/>
    <w:rsid w:val="00A82089"/>
    <w:rsid w:val="00A82DEE"/>
    <w:rsid w:val="00A82E1F"/>
    <w:rsid w:val="00A83655"/>
    <w:rsid w:val="00A84B5D"/>
    <w:rsid w:val="00A86399"/>
    <w:rsid w:val="00A86D95"/>
    <w:rsid w:val="00A86FDF"/>
    <w:rsid w:val="00A87C8E"/>
    <w:rsid w:val="00A90CFA"/>
    <w:rsid w:val="00A9147E"/>
    <w:rsid w:val="00A91985"/>
    <w:rsid w:val="00A921E5"/>
    <w:rsid w:val="00A92320"/>
    <w:rsid w:val="00A944A5"/>
    <w:rsid w:val="00A9469C"/>
    <w:rsid w:val="00A95477"/>
    <w:rsid w:val="00A95571"/>
    <w:rsid w:val="00A967B6"/>
    <w:rsid w:val="00A97355"/>
    <w:rsid w:val="00A977EC"/>
    <w:rsid w:val="00A97AD7"/>
    <w:rsid w:val="00A97E36"/>
    <w:rsid w:val="00AA03FC"/>
    <w:rsid w:val="00AA0D50"/>
    <w:rsid w:val="00AA1459"/>
    <w:rsid w:val="00AA1634"/>
    <w:rsid w:val="00AA1B5D"/>
    <w:rsid w:val="00AA2751"/>
    <w:rsid w:val="00AA283F"/>
    <w:rsid w:val="00AA294B"/>
    <w:rsid w:val="00AA2FF0"/>
    <w:rsid w:val="00AA354C"/>
    <w:rsid w:val="00AA3F5D"/>
    <w:rsid w:val="00AA4AE4"/>
    <w:rsid w:val="00AA552D"/>
    <w:rsid w:val="00AA5824"/>
    <w:rsid w:val="00AA6304"/>
    <w:rsid w:val="00AA6F07"/>
    <w:rsid w:val="00AA6F5C"/>
    <w:rsid w:val="00AA7275"/>
    <w:rsid w:val="00AA79FA"/>
    <w:rsid w:val="00AB18E4"/>
    <w:rsid w:val="00AB33C9"/>
    <w:rsid w:val="00AB43FE"/>
    <w:rsid w:val="00AB44B4"/>
    <w:rsid w:val="00AB48E3"/>
    <w:rsid w:val="00AB49DE"/>
    <w:rsid w:val="00AB4DA2"/>
    <w:rsid w:val="00AB55B6"/>
    <w:rsid w:val="00AB58EE"/>
    <w:rsid w:val="00AB6FF1"/>
    <w:rsid w:val="00AC060A"/>
    <w:rsid w:val="00AC07A4"/>
    <w:rsid w:val="00AC1800"/>
    <w:rsid w:val="00AC1B66"/>
    <w:rsid w:val="00AC1D62"/>
    <w:rsid w:val="00AC2440"/>
    <w:rsid w:val="00AC3717"/>
    <w:rsid w:val="00AC3E18"/>
    <w:rsid w:val="00AC4159"/>
    <w:rsid w:val="00AC4EF5"/>
    <w:rsid w:val="00AC55E8"/>
    <w:rsid w:val="00AC5BC2"/>
    <w:rsid w:val="00AC60C8"/>
    <w:rsid w:val="00AC6834"/>
    <w:rsid w:val="00AC69CA"/>
    <w:rsid w:val="00AC7C2B"/>
    <w:rsid w:val="00AC7D52"/>
    <w:rsid w:val="00AD0410"/>
    <w:rsid w:val="00AD047A"/>
    <w:rsid w:val="00AD106B"/>
    <w:rsid w:val="00AD3657"/>
    <w:rsid w:val="00AD3A91"/>
    <w:rsid w:val="00AD580B"/>
    <w:rsid w:val="00AD5F8F"/>
    <w:rsid w:val="00AD6B9A"/>
    <w:rsid w:val="00AD7C28"/>
    <w:rsid w:val="00AD7F04"/>
    <w:rsid w:val="00AE0878"/>
    <w:rsid w:val="00AE136F"/>
    <w:rsid w:val="00AE2C81"/>
    <w:rsid w:val="00AE2DBD"/>
    <w:rsid w:val="00AE350D"/>
    <w:rsid w:val="00AE39F3"/>
    <w:rsid w:val="00AE3E35"/>
    <w:rsid w:val="00AE430D"/>
    <w:rsid w:val="00AE44D4"/>
    <w:rsid w:val="00AE45A2"/>
    <w:rsid w:val="00AE4660"/>
    <w:rsid w:val="00AE4E5B"/>
    <w:rsid w:val="00AE5A06"/>
    <w:rsid w:val="00AE5D81"/>
    <w:rsid w:val="00AE662E"/>
    <w:rsid w:val="00AE7301"/>
    <w:rsid w:val="00AE7D7F"/>
    <w:rsid w:val="00AF080F"/>
    <w:rsid w:val="00AF10F8"/>
    <w:rsid w:val="00AF19B0"/>
    <w:rsid w:val="00AF2468"/>
    <w:rsid w:val="00AF3D57"/>
    <w:rsid w:val="00AF40A1"/>
    <w:rsid w:val="00AF442A"/>
    <w:rsid w:val="00AF4793"/>
    <w:rsid w:val="00AF47DA"/>
    <w:rsid w:val="00AF4C6A"/>
    <w:rsid w:val="00AF553C"/>
    <w:rsid w:val="00AF55A3"/>
    <w:rsid w:val="00AF56EE"/>
    <w:rsid w:val="00AF5794"/>
    <w:rsid w:val="00AF6F6D"/>
    <w:rsid w:val="00AF7949"/>
    <w:rsid w:val="00AF7982"/>
    <w:rsid w:val="00AF7CEB"/>
    <w:rsid w:val="00AF7D02"/>
    <w:rsid w:val="00B00288"/>
    <w:rsid w:val="00B00E8D"/>
    <w:rsid w:val="00B01F58"/>
    <w:rsid w:val="00B025F0"/>
    <w:rsid w:val="00B030DC"/>
    <w:rsid w:val="00B03AF8"/>
    <w:rsid w:val="00B045AC"/>
    <w:rsid w:val="00B05225"/>
    <w:rsid w:val="00B057B2"/>
    <w:rsid w:val="00B06475"/>
    <w:rsid w:val="00B06D78"/>
    <w:rsid w:val="00B07A77"/>
    <w:rsid w:val="00B100C8"/>
    <w:rsid w:val="00B106E2"/>
    <w:rsid w:val="00B106FF"/>
    <w:rsid w:val="00B107EF"/>
    <w:rsid w:val="00B10A93"/>
    <w:rsid w:val="00B10FE5"/>
    <w:rsid w:val="00B113C9"/>
    <w:rsid w:val="00B11CC3"/>
    <w:rsid w:val="00B12597"/>
    <w:rsid w:val="00B126DA"/>
    <w:rsid w:val="00B126F8"/>
    <w:rsid w:val="00B128E1"/>
    <w:rsid w:val="00B1343D"/>
    <w:rsid w:val="00B1435E"/>
    <w:rsid w:val="00B1513D"/>
    <w:rsid w:val="00B1546A"/>
    <w:rsid w:val="00B1548B"/>
    <w:rsid w:val="00B1583E"/>
    <w:rsid w:val="00B15994"/>
    <w:rsid w:val="00B15DD1"/>
    <w:rsid w:val="00B16ED2"/>
    <w:rsid w:val="00B178DB"/>
    <w:rsid w:val="00B178F2"/>
    <w:rsid w:val="00B20118"/>
    <w:rsid w:val="00B201D9"/>
    <w:rsid w:val="00B209A9"/>
    <w:rsid w:val="00B20C20"/>
    <w:rsid w:val="00B20C45"/>
    <w:rsid w:val="00B21F7C"/>
    <w:rsid w:val="00B220B1"/>
    <w:rsid w:val="00B22199"/>
    <w:rsid w:val="00B22521"/>
    <w:rsid w:val="00B22660"/>
    <w:rsid w:val="00B2272E"/>
    <w:rsid w:val="00B23539"/>
    <w:rsid w:val="00B236C3"/>
    <w:rsid w:val="00B2478B"/>
    <w:rsid w:val="00B25D14"/>
    <w:rsid w:val="00B25FDB"/>
    <w:rsid w:val="00B26445"/>
    <w:rsid w:val="00B266F0"/>
    <w:rsid w:val="00B26AB1"/>
    <w:rsid w:val="00B26FDA"/>
    <w:rsid w:val="00B27597"/>
    <w:rsid w:val="00B27ECB"/>
    <w:rsid w:val="00B30D34"/>
    <w:rsid w:val="00B30F5E"/>
    <w:rsid w:val="00B310B1"/>
    <w:rsid w:val="00B31ECD"/>
    <w:rsid w:val="00B32887"/>
    <w:rsid w:val="00B3336E"/>
    <w:rsid w:val="00B334B4"/>
    <w:rsid w:val="00B341AF"/>
    <w:rsid w:val="00B3575D"/>
    <w:rsid w:val="00B3653A"/>
    <w:rsid w:val="00B3705B"/>
    <w:rsid w:val="00B4035F"/>
    <w:rsid w:val="00B40572"/>
    <w:rsid w:val="00B4094C"/>
    <w:rsid w:val="00B40ACB"/>
    <w:rsid w:val="00B4140A"/>
    <w:rsid w:val="00B416F9"/>
    <w:rsid w:val="00B42340"/>
    <w:rsid w:val="00B42365"/>
    <w:rsid w:val="00B4240E"/>
    <w:rsid w:val="00B42E86"/>
    <w:rsid w:val="00B431E1"/>
    <w:rsid w:val="00B43501"/>
    <w:rsid w:val="00B43BC0"/>
    <w:rsid w:val="00B44981"/>
    <w:rsid w:val="00B45957"/>
    <w:rsid w:val="00B45DC6"/>
    <w:rsid w:val="00B45E05"/>
    <w:rsid w:val="00B46082"/>
    <w:rsid w:val="00B4632E"/>
    <w:rsid w:val="00B46D67"/>
    <w:rsid w:val="00B46D81"/>
    <w:rsid w:val="00B4773A"/>
    <w:rsid w:val="00B47998"/>
    <w:rsid w:val="00B479A7"/>
    <w:rsid w:val="00B5005F"/>
    <w:rsid w:val="00B50709"/>
    <w:rsid w:val="00B50DF6"/>
    <w:rsid w:val="00B51AB2"/>
    <w:rsid w:val="00B5342D"/>
    <w:rsid w:val="00B5362E"/>
    <w:rsid w:val="00B548DA"/>
    <w:rsid w:val="00B54F94"/>
    <w:rsid w:val="00B5549B"/>
    <w:rsid w:val="00B55944"/>
    <w:rsid w:val="00B55C55"/>
    <w:rsid w:val="00B56584"/>
    <w:rsid w:val="00B567E7"/>
    <w:rsid w:val="00B56A5D"/>
    <w:rsid w:val="00B56A66"/>
    <w:rsid w:val="00B56C14"/>
    <w:rsid w:val="00B60301"/>
    <w:rsid w:val="00B6047E"/>
    <w:rsid w:val="00B60C91"/>
    <w:rsid w:val="00B6135C"/>
    <w:rsid w:val="00B61BD0"/>
    <w:rsid w:val="00B628CB"/>
    <w:rsid w:val="00B63354"/>
    <w:rsid w:val="00B639F1"/>
    <w:rsid w:val="00B63CCC"/>
    <w:rsid w:val="00B64323"/>
    <w:rsid w:val="00B654A4"/>
    <w:rsid w:val="00B65556"/>
    <w:rsid w:val="00B6572E"/>
    <w:rsid w:val="00B663D2"/>
    <w:rsid w:val="00B669AC"/>
    <w:rsid w:val="00B66B95"/>
    <w:rsid w:val="00B703A2"/>
    <w:rsid w:val="00B70721"/>
    <w:rsid w:val="00B70B4C"/>
    <w:rsid w:val="00B70CCD"/>
    <w:rsid w:val="00B71784"/>
    <w:rsid w:val="00B71E47"/>
    <w:rsid w:val="00B72083"/>
    <w:rsid w:val="00B72A83"/>
    <w:rsid w:val="00B7319D"/>
    <w:rsid w:val="00B73D18"/>
    <w:rsid w:val="00B75B8D"/>
    <w:rsid w:val="00B765CE"/>
    <w:rsid w:val="00B76757"/>
    <w:rsid w:val="00B771EA"/>
    <w:rsid w:val="00B7749B"/>
    <w:rsid w:val="00B77781"/>
    <w:rsid w:val="00B77C68"/>
    <w:rsid w:val="00B77DBD"/>
    <w:rsid w:val="00B815ED"/>
    <w:rsid w:val="00B82540"/>
    <w:rsid w:val="00B82730"/>
    <w:rsid w:val="00B82ABA"/>
    <w:rsid w:val="00B82AE3"/>
    <w:rsid w:val="00B82B50"/>
    <w:rsid w:val="00B833FB"/>
    <w:rsid w:val="00B83872"/>
    <w:rsid w:val="00B83BFA"/>
    <w:rsid w:val="00B83D8C"/>
    <w:rsid w:val="00B8497F"/>
    <w:rsid w:val="00B85F78"/>
    <w:rsid w:val="00B8627F"/>
    <w:rsid w:val="00B863A4"/>
    <w:rsid w:val="00B86445"/>
    <w:rsid w:val="00B868E5"/>
    <w:rsid w:val="00B8717D"/>
    <w:rsid w:val="00B87786"/>
    <w:rsid w:val="00B87798"/>
    <w:rsid w:val="00B90815"/>
    <w:rsid w:val="00B90EAA"/>
    <w:rsid w:val="00B912B5"/>
    <w:rsid w:val="00B91366"/>
    <w:rsid w:val="00B919A3"/>
    <w:rsid w:val="00B920A2"/>
    <w:rsid w:val="00B92308"/>
    <w:rsid w:val="00B923B3"/>
    <w:rsid w:val="00B92525"/>
    <w:rsid w:val="00B9263F"/>
    <w:rsid w:val="00B92E90"/>
    <w:rsid w:val="00B92F00"/>
    <w:rsid w:val="00B92F96"/>
    <w:rsid w:val="00B93A7C"/>
    <w:rsid w:val="00B93C9C"/>
    <w:rsid w:val="00B947CA"/>
    <w:rsid w:val="00B947D7"/>
    <w:rsid w:val="00B94D85"/>
    <w:rsid w:val="00B9546B"/>
    <w:rsid w:val="00B95B58"/>
    <w:rsid w:val="00B95EBD"/>
    <w:rsid w:val="00B96548"/>
    <w:rsid w:val="00B96BCC"/>
    <w:rsid w:val="00B9708E"/>
    <w:rsid w:val="00B979C7"/>
    <w:rsid w:val="00B97CCE"/>
    <w:rsid w:val="00B97D27"/>
    <w:rsid w:val="00BA02E2"/>
    <w:rsid w:val="00BA063D"/>
    <w:rsid w:val="00BA0E7C"/>
    <w:rsid w:val="00BA12C5"/>
    <w:rsid w:val="00BA12FC"/>
    <w:rsid w:val="00BA15AB"/>
    <w:rsid w:val="00BA19DE"/>
    <w:rsid w:val="00BA1C09"/>
    <w:rsid w:val="00BA1CC4"/>
    <w:rsid w:val="00BA291C"/>
    <w:rsid w:val="00BA3DE1"/>
    <w:rsid w:val="00BA44EB"/>
    <w:rsid w:val="00BA499B"/>
    <w:rsid w:val="00BA4BDD"/>
    <w:rsid w:val="00BA6C9D"/>
    <w:rsid w:val="00BA732B"/>
    <w:rsid w:val="00BB0382"/>
    <w:rsid w:val="00BB0F69"/>
    <w:rsid w:val="00BB1CA0"/>
    <w:rsid w:val="00BB36B7"/>
    <w:rsid w:val="00BB4525"/>
    <w:rsid w:val="00BB4860"/>
    <w:rsid w:val="00BB4ADB"/>
    <w:rsid w:val="00BB4F52"/>
    <w:rsid w:val="00BB5B6B"/>
    <w:rsid w:val="00BB632C"/>
    <w:rsid w:val="00BB66EE"/>
    <w:rsid w:val="00BB6BE0"/>
    <w:rsid w:val="00BC0AA5"/>
    <w:rsid w:val="00BC0CBE"/>
    <w:rsid w:val="00BC1082"/>
    <w:rsid w:val="00BC110C"/>
    <w:rsid w:val="00BC152C"/>
    <w:rsid w:val="00BC1660"/>
    <w:rsid w:val="00BC1672"/>
    <w:rsid w:val="00BC1A5A"/>
    <w:rsid w:val="00BC1D44"/>
    <w:rsid w:val="00BC20B6"/>
    <w:rsid w:val="00BC2A76"/>
    <w:rsid w:val="00BC3202"/>
    <w:rsid w:val="00BC3338"/>
    <w:rsid w:val="00BC3D84"/>
    <w:rsid w:val="00BC3F04"/>
    <w:rsid w:val="00BC3F2B"/>
    <w:rsid w:val="00BC4436"/>
    <w:rsid w:val="00BC5447"/>
    <w:rsid w:val="00BC5664"/>
    <w:rsid w:val="00BC59E2"/>
    <w:rsid w:val="00BC69FA"/>
    <w:rsid w:val="00BC78E4"/>
    <w:rsid w:val="00BC79CA"/>
    <w:rsid w:val="00BC7E50"/>
    <w:rsid w:val="00BD0486"/>
    <w:rsid w:val="00BD0EF9"/>
    <w:rsid w:val="00BD20B9"/>
    <w:rsid w:val="00BD2525"/>
    <w:rsid w:val="00BD3214"/>
    <w:rsid w:val="00BD3C20"/>
    <w:rsid w:val="00BD3E9B"/>
    <w:rsid w:val="00BD4159"/>
    <w:rsid w:val="00BD4CA9"/>
    <w:rsid w:val="00BD560B"/>
    <w:rsid w:val="00BD686B"/>
    <w:rsid w:val="00BD7464"/>
    <w:rsid w:val="00BD7963"/>
    <w:rsid w:val="00BE0774"/>
    <w:rsid w:val="00BE1252"/>
    <w:rsid w:val="00BE23A7"/>
    <w:rsid w:val="00BE39A6"/>
    <w:rsid w:val="00BE46EA"/>
    <w:rsid w:val="00BE48DF"/>
    <w:rsid w:val="00BE590A"/>
    <w:rsid w:val="00BE68F6"/>
    <w:rsid w:val="00BE6ECD"/>
    <w:rsid w:val="00BE702A"/>
    <w:rsid w:val="00BE75E9"/>
    <w:rsid w:val="00BE78F8"/>
    <w:rsid w:val="00BE7D61"/>
    <w:rsid w:val="00BF0122"/>
    <w:rsid w:val="00BF01FD"/>
    <w:rsid w:val="00BF0C6A"/>
    <w:rsid w:val="00BF0E61"/>
    <w:rsid w:val="00BF10CF"/>
    <w:rsid w:val="00BF1BDF"/>
    <w:rsid w:val="00BF1EBD"/>
    <w:rsid w:val="00BF2430"/>
    <w:rsid w:val="00BF24C5"/>
    <w:rsid w:val="00BF2707"/>
    <w:rsid w:val="00BF2BB4"/>
    <w:rsid w:val="00BF5D2C"/>
    <w:rsid w:val="00BF6CF7"/>
    <w:rsid w:val="00BF7398"/>
    <w:rsid w:val="00BF75B1"/>
    <w:rsid w:val="00BF7A85"/>
    <w:rsid w:val="00C0055B"/>
    <w:rsid w:val="00C00FA9"/>
    <w:rsid w:val="00C010C8"/>
    <w:rsid w:val="00C01416"/>
    <w:rsid w:val="00C01A06"/>
    <w:rsid w:val="00C01EBF"/>
    <w:rsid w:val="00C01F12"/>
    <w:rsid w:val="00C027D9"/>
    <w:rsid w:val="00C0363A"/>
    <w:rsid w:val="00C0396E"/>
    <w:rsid w:val="00C03E3D"/>
    <w:rsid w:val="00C0405C"/>
    <w:rsid w:val="00C046CF"/>
    <w:rsid w:val="00C04820"/>
    <w:rsid w:val="00C048C2"/>
    <w:rsid w:val="00C049F9"/>
    <w:rsid w:val="00C04A16"/>
    <w:rsid w:val="00C04EEE"/>
    <w:rsid w:val="00C051C4"/>
    <w:rsid w:val="00C05E2B"/>
    <w:rsid w:val="00C0645C"/>
    <w:rsid w:val="00C06721"/>
    <w:rsid w:val="00C10273"/>
    <w:rsid w:val="00C10363"/>
    <w:rsid w:val="00C11060"/>
    <w:rsid w:val="00C11629"/>
    <w:rsid w:val="00C11B19"/>
    <w:rsid w:val="00C12317"/>
    <w:rsid w:val="00C1337E"/>
    <w:rsid w:val="00C138AA"/>
    <w:rsid w:val="00C141D6"/>
    <w:rsid w:val="00C14505"/>
    <w:rsid w:val="00C14928"/>
    <w:rsid w:val="00C14D26"/>
    <w:rsid w:val="00C1684A"/>
    <w:rsid w:val="00C168A2"/>
    <w:rsid w:val="00C17889"/>
    <w:rsid w:val="00C219FC"/>
    <w:rsid w:val="00C21EF7"/>
    <w:rsid w:val="00C22173"/>
    <w:rsid w:val="00C221E1"/>
    <w:rsid w:val="00C23599"/>
    <w:rsid w:val="00C23750"/>
    <w:rsid w:val="00C23E70"/>
    <w:rsid w:val="00C23F16"/>
    <w:rsid w:val="00C242B3"/>
    <w:rsid w:val="00C2439C"/>
    <w:rsid w:val="00C245B7"/>
    <w:rsid w:val="00C24B5C"/>
    <w:rsid w:val="00C24F8A"/>
    <w:rsid w:val="00C2525D"/>
    <w:rsid w:val="00C25275"/>
    <w:rsid w:val="00C25513"/>
    <w:rsid w:val="00C26126"/>
    <w:rsid w:val="00C2647E"/>
    <w:rsid w:val="00C269A5"/>
    <w:rsid w:val="00C26CB1"/>
    <w:rsid w:val="00C26FE2"/>
    <w:rsid w:val="00C27519"/>
    <w:rsid w:val="00C30A0E"/>
    <w:rsid w:val="00C315E9"/>
    <w:rsid w:val="00C31AB6"/>
    <w:rsid w:val="00C31D50"/>
    <w:rsid w:val="00C31D81"/>
    <w:rsid w:val="00C3217B"/>
    <w:rsid w:val="00C32752"/>
    <w:rsid w:val="00C32CB0"/>
    <w:rsid w:val="00C32E7D"/>
    <w:rsid w:val="00C33760"/>
    <w:rsid w:val="00C33831"/>
    <w:rsid w:val="00C349BF"/>
    <w:rsid w:val="00C34C93"/>
    <w:rsid w:val="00C34DD2"/>
    <w:rsid w:val="00C35DA4"/>
    <w:rsid w:val="00C3665E"/>
    <w:rsid w:val="00C36E1A"/>
    <w:rsid w:val="00C37269"/>
    <w:rsid w:val="00C37BE4"/>
    <w:rsid w:val="00C4087A"/>
    <w:rsid w:val="00C40CFC"/>
    <w:rsid w:val="00C41526"/>
    <w:rsid w:val="00C41930"/>
    <w:rsid w:val="00C427AE"/>
    <w:rsid w:val="00C4299E"/>
    <w:rsid w:val="00C4378E"/>
    <w:rsid w:val="00C43AC0"/>
    <w:rsid w:val="00C43C03"/>
    <w:rsid w:val="00C43F36"/>
    <w:rsid w:val="00C44004"/>
    <w:rsid w:val="00C447B5"/>
    <w:rsid w:val="00C44859"/>
    <w:rsid w:val="00C44E2C"/>
    <w:rsid w:val="00C45895"/>
    <w:rsid w:val="00C45BD9"/>
    <w:rsid w:val="00C45F6A"/>
    <w:rsid w:val="00C45FB1"/>
    <w:rsid w:val="00C46B53"/>
    <w:rsid w:val="00C47CEE"/>
    <w:rsid w:val="00C5095D"/>
    <w:rsid w:val="00C50C54"/>
    <w:rsid w:val="00C518B1"/>
    <w:rsid w:val="00C52411"/>
    <w:rsid w:val="00C525F8"/>
    <w:rsid w:val="00C53864"/>
    <w:rsid w:val="00C53BA7"/>
    <w:rsid w:val="00C53D55"/>
    <w:rsid w:val="00C5459B"/>
    <w:rsid w:val="00C548BC"/>
    <w:rsid w:val="00C54C7D"/>
    <w:rsid w:val="00C5616B"/>
    <w:rsid w:val="00C56375"/>
    <w:rsid w:val="00C5640B"/>
    <w:rsid w:val="00C565A6"/>
    <w:rsid w:val="00C57783"/>
    <w:rsid w:val="00C601AE"/>
    <w:rsid w:val="00C6022A"/>
    <w:rsid w:val="00C60B6A"/>
    <w:rsid w:val="00C60C37"/>
    <w:rsid w:val="00C61842"/>
    <w:rsid w:val="00C6254D"/>
    <w:rsid w:val="00C625ED"/>
    <w:rsid w:val="00C6302E"/>
    <w:rsid w:val="00C638AD"/>
    <w:rsid w:val="00C64EAA"/>
    <w:rsid w:val="00C65067"/>
    <w:rsid w:val="00C65B85"/>
    <w:rsid w:val="00C65CA3"/>
    <w:rsid w:val="00C65CE6"/>
    <w:rsid w:val="00C661DA"/>
    <w:rsid w:val="00C66615"/>
    <w:rsid w:val="00C67416"/>
    <w:rsid w:val="00C67F0B"/>
    <w:rsid w:val="00C70158"/>
    <w:rsid w:val="00C7050A"/>
    <w:rsid w:val="00C708D7"/>
    <w:rsid w:val="00C712C6"/>
    <w:rsid w:val="00C71A7A"/>
    <w:rsid w:val="00C72AA2"/>
    <w:rsid w:val="00C733E8"/>
    <w:rsid w:val="00C73A9A"/>
    <w:rsid w:val="00C74205"/>
    <w:rsid w:val="00C747D5"/>
    <w:rsid w:val="00C74B94"/>
    <w:rsid w:val="00C74FE8"/>
    <w:rsid w:val="00C750F8"/>
    <w:rsid w:val="00C752F4"/>
    <w:rsid w:val="00C7553E"/>
    <w:rsid w:val="00C7601F"/>
    <w:rsid w:val="00C761D4"/>
    <w:rsid w:val="00C769ED"/>
    <w:rsid w:val="00C76DA5"/>
    <w:rsid w:val="00C771C7"/>
    <w:rsid w:val="00C777C2"/>
    <w:rsid w:val="00C808DB"/>
    <w:rsid w:val="00C8095A"/>
    <w:rsid w:val="00C8122C"/>
    <w:rsid w:val="00C827D3"/>
    <w:rsid w:val="00C832EE"/>
    <w:rsid w:val="00C83522"/>
    <w:rsid w:val="00C835E3"/>
    <w:rsid w:val="00C83EBD"/>
    <w:rsid w:val="00C84328"/>
    <w:rsid w:val="00C8491D"/>
    <w:rsid w:val="00C84C39"/>
    <w:rsid w:val="00C84F8B"/>
    <w:rsid w:val="00C8510B"/>
    <w:rsid w:val="00C8592E"/>
    <w:rsid w:val="00C8594C"/>
    <w:rsid w:val="00C85BD6"/>
    <w:rsid w:val="00C86074"/>
    <w:rsid w:val="00C86303"/>
    <w:rsid w:val="00C8641C"/>
    <w:rsid w:val="00C866E5"/>
    <w:rsid w:val="00C86F00"/>
    <w:rsid w:val="00C8739E"/>
    <w:rsid w:val="00C904AE"/>
    <w:rsid w:val="00C90932"/>
    <w:rsid w:val="00C91B3C"/>
    <w:rsid w:val="00C92457"/>
    <w:rsid w:val="00C937D7"/>
    <w:rsid w:val="00C938E8"/>
    <w:rsid w:val="00C94450"/>
    <w:rsid w:val="00C945B7"/>
    <w:rsid w:val="00C94F58"/>
    <w:rsid w:val="00C95261"/>
    <w:rsid w:val="00C96328"/>
    <w:rsid w:val="00C9636A"/>
    <w:rsid w:val="00C967CF"/>
    <w:rsid w:val="00C97534"/>
    <w:rsid w:val="00CA01B5"/>
    <w:rsid w:val="00CA0928"/>
    <w:rsid w:val="00CA0DA6"/>
    <w:rsid w:val="00CA169B"/>
    <w:rsid w:val="00CA1772"/>
    <w:rsid w:val="00CA1795"/>
    <w:rsid w:val="00CA22DE"/>
    <w:rsid w:val="00CA22E3"/>
    <w:rsid w:val="00CA2380"/>
    <w:rsid w:val="00CA260C"/>
    <w:rsid w:val="00CA2D60"/>
    <w:rsid w:val="00CA2E3C"/>
    <w:rsid w:val="00CA3894"/>
    <w:rsid w:val="00CA4AC3"/>
    <w:rsid w:val="00CA5702"/>
    <w:rsid w:val="00CA5868"/>
    <w:rsid w:val="00CA5F0D"/>
    <w:rsid w:val="00CA64B3"/>
    <w:rsid w:val="00CA686C"/>
    <w:rsid w:val="00CA70B8"/>
    <w:rsid w:val="00CA7962"/>
    <w:rsid w:val="00CA7BF6"/>
    <w:rsid w:val="00CA7F91"/>
    <w:rsid w:val="00CB01F4"/>
    <w:rsid w:val="00CB0A4C"/>
    <w:rsid w:val="00CB0A8C"/>
    <w:rsid w:val="00CB1970"/>
    <w:rsid w:val="00CB1D33"/>
    <w:rsid w:val="00CB2535"/>
    <w:rsid w:val="00CB3726"/>
    <w:rsid w:val="00CB42E3"/>
    <w:rsid w:val="00CB4784"/>
    <w:rsid w:val="00CB55F6"/>
    <w:rsid w:val="00CB72E0"/>
    <w:rsid w:val="00CB75D5"/>
    <w:rsid w:val="00CC01B4"/>
    <w:rsid w:val="00CC0694"/>
    <w:rsid w:val="00CC0AAC"/>
    <w:rsid w:val="00CC162B"/>
    <w:rsid w:val="00CC2086"/>
    <w:rsid w:val="00CC2183"/>
    <w:rsid w:val="00CC21CD"/>
    <w:rsid w:val="00CC22EE"/>
    <w:rsid w:val="00CC3C37"/>
    <w:rsid w:val="00CC4269"/>
    <w:rsid w:val="00CC42FF"/>
    <w:rsid w:val="00CC4747"/>
    <w:rsid w:val="00CC4CF8"/>
    <w:rsid w:val="00CC5101"/>
    <w:rsid w:val="00CC5530"/>
    <w:rsid w:val="00CC5C85"/>
    <w:rsid w:val="00CC5F32"/>
    <w:rsid w:val="00CC5F92"/>
    <w:rsid w:val="00CC63AE"/>
    <w:rsid w:val="00CC64C1"/>
    <w:rsid w:val="00CC7616"/>
    <w:rsid w:val="00CC790F"/>
    <w:rsid w:val="00CC7961"/>
    <w:rsid w:val="00CC7BB6"/>
    <w:rsid w:val="00CD0571"/>
    <w:rsid w:val="00CD0789"/>
    <w:rsid w:val="00CD0E57"/>
    <w:rsid w:val="00CD0FAD"/>
    <w:rsid w:val="00CD101A"/>
    <w:rsid w:val="00CD1225"/>
    <w:rsid w:val="00CD2909"/>
    <w:rsid w:val="00CD330F"/>
    <w:rsid w:val="00CD35D1"/>
    <w:rsid w:val="00CD4F4F"/>
    <w:rsid w:val="00CD551A"/>
    <w:rsid w:val="00CD5614"/>
    <w:rsid w:val="00CD6FB7"/>
    <w:rsid w:val="00CD7186"/>
    <w:rsid w:val="00CD7431"/>
    <w:rsid w:val="00CD7532"/>
    <w:rsid w:val="00CD79FE"/>
    <w:rsid w:val="00CD7D27"/>
    <w:rsid w:val="00CE0526"/>
    <w:rsid w:val="00CE0DEF"/>
    <w:rsid w:val="00CE1F53"/>
    <w:rsid w:val="00CE2DC2"/>
    <w:rsid w:val="00CE2EB1"/>
    <w:rsid w:val="00CE302E"/>
    <w:rsid w:val="00CE30D6"/>
    <w:rsid w:val="00CE4719"/>
    <w:rsid w:val="00CE475F"/>
    <w:rsid w:val="00CE4C7D"/>
    <w:rsid w:val="00CE5A87"/>
    <w:rsid w:val="00CE64FC"/>
    <w:rsid w:val="00CE650D"/>
    <w:rsid w:val="00CE7AFE"/>
    <w:rsid w:val="00CF066E"/>
    <w:rsid w:val="00CF1DE4"/>
    <w:rsid w:val="00CF2120"/>
    <w:rsid w:val="00CF2A94"/>
    <w:rsid w:val="00CF2B70"/>
    <w:rsid w:val="00CF2DAD"/>
    <w:rsid w:val="00CF307E"/>
    <w:rsid w:val="00CF3D8F"/>
    <w:rsid w:val="00CF3F0B"/>
    <w:rsid w:val="00CF4293"/>
    <w:rsid w:val="00CF44F1"/>
    <w:rsid w:val="00CF49F3"/>
    <w:rsid w:val="00CF5229"/>
    <w:rsid w:val="00CF620C"/>
    <w:rsid w:val="00CF6D7B"/>
    <w:rsid w:val="00CF7112"/>
    <w:rsid w:val="00CF76CA"/>
    <w:rsid w:val="00CF7BF4"/>
    <w:rsid w:val="00D002E9"/>
    <w:rsid w:val="00D0034E"/>
    <w:rsid w:val="00D00DDF"/>
    <w:rsid w:val="00D00FED"/>
    <w:rsid w:val="00D015F6"/>
    <w:rsid w:val="00D01CB5"/>
    <w:rsid w:val="00D026AD"/>
    <w:rsid w:val="00D027A9"/>
    <w:rsid w:val="00D027B9"/>
    <w:rsid w:val="00D02883"/>
    <w:rsid w:val="00D02CA9"/>
    <w:rsid w:val="00D04162"/>
    <w:rsid w:val="00D0423D"/>
    <w:rsid w:val="00D049DE"/>
    <w:rsid w:val="00D04C9D"/>
    <w:rsid w:val="00D05051"/>
    <w:rsid w:val="00D0578D"/>
    <w:rsid w:val="00D063DC"/>
    <w:rsid w:val="00D10107"/>
    <w:rsid w:val="00D105D0"/>
    <w:rsid w:val="00D114C4"/>
    <w:rsid w:val="00D11A2B"/>
    <w:rsid w:val="00D11C5F"/>
    <w:rsid w:val="00D11C66"/>
    <w:rsid w:val="00D11D66"/>
    <w:rsid w:val="00D122DF"/>
    <w:rsid w:val="00D135A5"/>
    <w:rsid w:val="00D13CA1"/>
    <w:rsid w:val="00D1469C"/>
    <w:rsid w:val="00D146DA"/>
    <w:rsid w:val="00D148B2"/>
    <w:rsid w:val="00D1513F"/>
    <w:rsid w:val="00D152F7"/>
    <w:rsid w:val="00D156EB"/>
    <w:rsid w:val="00D15C01"/>
    <w:rsid w:val="00D165B2"/>
    <w:rsid w:val="00D16BA1"/>
    <w:rsid w:val="00D17033"/>
    <w:rsid w:val="00D17438"/>
    <w:rsid w:val="00D17822"/>
    <w:rsid w:val="00D179E3"/>
    <w:rsid w:val="00D20247"/>
    <w:rsid w:val="00D20703"/>
    <w:rsid w:val="00D20724"/>
    <w:rsid w:val="00D215BD"/>
    <w:rsid w:val="00D2169D"/>
    <w:rsid w:val="00D218E4"/>
    <w:rsid w:val="00D2282B"/>
    <w:rsid w:val="00D230BB"/>
    <w:rsid w:val="00D23AD3"/>
    <w:rsid w:val="00D242BF"/>
    <w:rsid w:val="00D24945"/>
    <w:rsid w:val="00D261F9"/>
    <w:rsid w:val="00D26273"/>
    <w:rsid w:val="00D26793"/>
    <w:rsid w:val="00D26903"/>
    <w:rsid w:val="00D26928"/>
    <w:rsid w:val="00D27AE1"/>
    <w:rsid w:val="00D308F3"/>
    <w:rsid w:val="00D30B0B"/>
    <w:rsid w:val="00D31322"/>
    <w:rsid w:val="00D3199D"/>
    <w:rsid w:val="00D324B3"/>
    <w:rsid w:val="00D32708"/>
    <w:rsid w:val="00D327D9"/>
    <w:rsid w:val="00D33437"/>
    <w:rsid w:val="00D3362C"/>
    <w:rsid w:val="00D33AC8"/>
    <w:rsid w:val="00D34090"/>
    <w:rsid w:val="00D34973"/>
    <w:rsid w:val="00D3551C"/>
    <w:rsid w:val="00D361EF"/>
    <w:rsid w:val="00D37311"/>
    <w:rsid w:val="00D37C2A"/>
    <w:rsid w:val="00D37EAF"/>
    <w:rsid w:val="00D403F7"/>
    <w:rsid w:val="00D40F19"/>
    <w:rsid w:val="00D418C7"/>
    <w:rsid w:val="00D41DB2"/>
    <w:rsid w:val="00D43BF0"/>
    <w:rsid w:val="00D44ABD"/>
    <w:rsid w:val="00D44CA4"/>
    <w:rsid w:val="00D45503"/>
    <w:rsid w:val="00D45CC8"/>
    <w:rsid w:val="00D45E28"/>
    <w:rsid w:val="00D462BE"/>
    <w:rsid w:val="00D463B4"/>
    <w:rsid w:val="00D46A14"/>
    <w:rsid w:val="00D46A38"/>
    <w:rsid w:val="00D46A70"/>
    <w:rsid w:val="00D46C82"/>
    <w:rsid w:val="00D47027"/>
    <w:rsid w:val="00D4712E"/>
    <w:rsid w:val="00D47390"/>
    <w:rsid w:val="00D47792"/>
    <w:rsid w:val="00D47A06"/>
    <w:rsid w:val="00D47D1C"/>
    <w:rsid w:val="00D47DD5"/>
    <w:rsid w:val="00D502A3"/>
    <w:rsid w:val="00D5192C"/>
    <w:rsid w:val="00D51D36"/>
    <w:rsid w:val="00D52627"/>
    <w:rsid w:val="00D52C87"/>
    <w:rsid w:val="00D53068"/>
    <w:rsid w:val="00D5554C"/>
    <w:rsid w:val="00D556C4"/>
    <w:rsid w:val="00D55E02"/>
    <w:rsid w:val="00D55E78"/>
    <w:rsid w:val="00D56359"/>
    <w:rsid w:val="00D56CD3"/>
    <w:rsid w:val="00D572E6"/>
    <w:rsid w:val="00D57817"/>
    <w:rsid w:val="00D57B50"/>
    <w:rsid w:val="00D60AA3"/>
    <w:rsid w:val="00D6149D"/>
    <w:rsid w:val="00D62033"/>
    <w:rsid w:val="00D6216D"/>
    <w:rsid w:val="00D62353"/>
    <w:rsid w:val="00D62386"/>
    <w:rsid w:val="00D6247B"/>
    <w:rsid w:val="00D625C9"/>
    <w:rsid w:val="00D62675"/>
    <w:rsid w:val="00D6291F"/>
    <w:rsid w:val="00D62E81"/>
    <w:rsid w:val="00D63165"/>
    <w:rsid w:val="00D6323C"/>
    <w:rsid w:val="00D638EB"/>
    <w:rsid w:val="00D6396F"/>
    <w:rsid w:val="00D63A0D"/>
    <w:rsid w:val="00D640EF"/>
    <w:rsid w:val="00D659A6"/>
    <w:rsid w:val="00D65E03"/>
    <w:rsid w:val="00D66ACE"/>
    <w:rsid w:val="00D707D5"/>
    <w:rsid w:val="00D70DA0"/>
    <w:rsid w:val="00D71939"/>
    <w:rsid w:val="00D71C1A"/>
    <w:rsid w:val="00D7230C"/>
    <w:rsid w:val="00D725B1"/>
    <w:rsid w:val="00D7326A"/>
    <w:rsid w:val="00D735F5"/>
    <w:rsid w:val="00D73E91"/>
    <w:rsid w:val="00D740FE"/>
    <w:rsid w:val="00D7496C"/>
    <w:rsid w:val="00D75000"/>
    <w:rsid w:val="00D75B73"/>
    <w:rsid w:val="00D75F3C"/>
    <w:rsid w:val="00D760D2"/>
    <w:rsid w:val="00D762F6"/>
    <w:rsid w:val="00D76E39"/>
    <w:rsid w:val="00D7791D"/>
    <w:rsid w:val="00D8031B"/>
    <w:rsid w:val="00D80CAB"/>
    <w:rsid w:val="00D80E18"/>
    <w:rsid w:val="00D810C9"/>
    <w:rsid w:val="00D82B31"/>
    <w:rsid w:val="00D8328D"/>
    <w:rsid w:val="00D83E73"/>
    <w:rsid w:val="00D848F2"/>
    <w:rsid w:val="00D84FC6"/>
    <w:rsid w:val="00D85419"/>
    <w:rsid w:val="00D85D05"/>
    <w:rsid w:val="00D85EA4"/>
    <w:rsid w:val="00D85FC5"/>
    <w:rsid w:val="00D868F1"/>
    <w:rsid w:val="00D86ED7"/>
    <w:rsid w:val="00D8709D"/>
    <w:rsid w:val="00D87523"/>
    <w:rsid w:val="00D87911"/>
    <w:rsid w:val="00D906EB"/>
    <w:rsid w:val="00D906F8"/>
    <w:rsid w:val="00D9080F"/>
    <w:rsid w:val="00D91016"/>
    <w:rsid w:val="00D922F7"/>
    <w:rsid w:val="00D92539"/>
    <w:rsid w:val="00D94068"/>
    <w:rsid w:val="00D941DA"/>
    <w:rsid w:val="00D942A3"/>
    <w:rsid w:val="00D94548"/>
    <w:rsid w:val="00D9538A"/>
    <w:rsid w:val="00D95507"/>
    <w:rsid w:val="00D95BD1"/>
    <w:rsid w:val="00D976B1"/>
    <w:rsid w:val="00D97833"/>
    <w:rsid w:val="00D97A75"/>
    <w:rsid w:val="00DA01BA"/>
    <w:rsid w:val="00DA0E19"/>
    <w:rsid w:val="00DA1084"/>
    <w:rsid w:val="00DA1EDC"/>
    <w:rsid w:val="00DA1FEA"/>
    <w:rsid w:val="00DA299D"/>
    <w:rsid w:val="00DA2D99"/>
    <w:rsid w:val="00DA2ECC"/>
    <w:rsid w:val="00DA3B74"/>
    <w:rsid w:val="00DA40DE"/>
    <w:rsid w:val="00DA489C"/>
    <w:rsid w:val="00DA57EC"/>
    <w:rsid w:val="00DA5E49"/>
    <w:rsid w:val="00DA611C"/>
    <w:rsid w:val="00DA63C2"/>
    <w:rsid w:val="00DA687B"/>
    <w:rsid w:val="00DA689D"/>
    <w:rsid w:val="00DA6FCD"/>
    <w:rsid w:val="00DA77B6"/>
    <w:rsid w:val="00DB001C"/>
    <w:rsid w:val="00DB021B"/>
    <w:rsid w:val="00DB0444"/>
    <w:rsid w:val="00DB07BF"/>
    <w:rsid w:val="00DB09CA"/>
    <w:rsid w:val="00DB0BA1"/>
    <w:rsid w:val="00DB1AAD"/>
    <w:rsid w:val="00DB3602"/>
    <w:rsid w:val="00DB367E"/>
    <w:rsid w:val="00DB37F5"/>
    <w:rsid w:val="00DB4701"/>
    <w:rsid w:val="00DB49BE"/>
    <w:rsid w:val="00DB5383"/>
    <w:rsid w:val="00DB56F0"/>
    <w:rsid w:val="00DB5D6A"/>
    <w:rsid w:val="00DB66EC"/>
    <w:rsid w:val="00DB724C"/>
    <w:rsid w:val="00DB7B4C"/>
    <w:rsid w:val="00DB7B4E"/>
    <w:rsid w:val="00DC0A32"/>
    <w:rsid w:val="00DC120C"/>
    <w:rsid w:val="00DC146A"/>
    <w:rsid w:val="00DC1C03"/>
    <w:rsid w:val="00DC1DAD"/>
    <w:rsid w:val="00DC20AE"/>
    <w:rsid w:val="00DC2224"/>
    <w:rsid w:val="00DC28FB"/>
    <w:rsid w:val="00DC4DEE"/>
    <w:rsid w:val="00DC50D1"/>
    <w:rsid w:val="00DC523E"/>
    <w:rsid w:val="00DC55D2"/>
    <w:rsid w:val="00DC5AAE"/>
    <w:rsid w:val="00DC61CC"/>
    <w:rsid w:val="00DC6625"/>
    <w:rsid w:val="00DC6863"/>
    <w:rsid w:val="00DC6A49"/>
    <w:rsid w:val="00DC6AE2"/>
    <w:rsid w:val="00DC71E0"/>
    <w:rsid w:val="00DC75CA"/>
    <w:rsid w:val="00DD081D"/>
    <w:rsid w:val="00DD0975"/>
    <w:rsid w:val="00DD0F49"/>
    <w:rsid w:val="00DD1A4D"/>
    <w:rsid w:val="00DD1BEA"/>
    <w:rsid w:val="00DD2A5E"/>
    <w:rsid w:val="00DD2E6F"/>
    <w:rsid w:val="00DD3557"/>
    <w:rsid w:val="00DD397A"/>
    <w:rsid w:val="00DD39FF"/>
    <w:rsid w:val="00DD42AD"/>
    <w:rsid w:val="00DD4D3F"/>
    <w:rsid w:val="00DD56BC"/>
    <w:rsid w:val="00DD5A3D"/>
    <w:rsid w:val="00DD5B31"/>
    <w:rsid w:val="00DD5C3A"/>
    <w:rsid w:val="00DD6A42"/>
    <w:rsid w:val="00DD70E6"/>
    <w:rsid w:val="00DD749D"/>
    <w:rsid w:val="00DE0F07"/>
    <w:rsid w:val="00DE18E7"/>
    <w:rsid w:val="00DE26C5"/>
    <w:rsid w:val="00DE309C"/>
    <w:rsid w:val="00DE3454"/>
    <w:rsid w:val="00DE3914"/>
    <w:rsid w:val="00DE3D0D"/>
    <w:rsid w:val="00DE3D2E"/>
    <w:rsid w:val="00DE40F1"/>
    <w:rsid w:val="00DE4136"/>
    <w:rsid w:val="00DE417E"/>
    <w:rsid w:val="00DE4297"/>
    <w:rsid w:val="00DE4844"/>
    <w:rsid w:val="00DE4CD8"/>
    <w:rsid w:val="00DE532D"/>
    <w:rsid w:val="00DE56BE"/>
    <w:rsid w:val="00DE599A"/>
    <w:rsid w:val="00DE5B42"/>
    <w:rsid w:val="00DE68F3"/>
    <w:rsid w:val="00DE695E"/>
    <w:rsid w:val="00DE72C1"/>
    <w:rsid w:val="00DE7A2D"/>
    <w:rsid w:val="00DE7DF3"/>
    <w:rsid w:val="00DE7F99"/>
    <w:rsid w:val="00DF086B"/>
    <w:rsid w:val="00DF1CD5"/>
    <w:rsid w:val="00DF2827"/>
    <w:rsid w:val="00DF310C"/>
    <w:rsid w:val="00DF31E7"/>
    <w:rsid w:val="00DF3982"/>
    <w:rsid w:val="00DF4CB2"/>
    <w:rsid w:val="00DF526A"/>
    <w:rsid w:val="00DF5C65"/>
    <w:rsid w:val="00DF64C5"/>
    <w:rsid w:val="00DF6A83"/>
    <w:rsid w:val="00DF70C9"/>
    <w:rsid w:val="00DF73DF"/>
    <w:rsid w:val="00DF78B4"/>
    <w:rsid w:val="00DF79AE"/>
    <w:rsid w:val="00DF7D4F"/>
    <w:rsid w:val="00E022AE"/>
    <w:rsid w:val="00E02C41"/>
    <w:rsid w:val="00E0332F"/>
    <w:rsid w:val="00E039AC"/>
    <w:rsid w:val="00E040F5"/>
    <w:rsid w:val="00E041B5"/>
    <w:rsid w:val="00E0489C"/>
    <w:rsid w:val="00E0500E"/>
    <w:rsid w:val="00E05C79"/>
    <w:rsid w:val="00E0643F"/>
    <w:rsid w:val="00E066BF"/>
    <w:rsid w:val="00E06C11"/>
    <w:rsid w:val="00E10926"/>
    <w:rsid w:val="00E10E4F"/>
    <w:rsid w:val="00E110CB"/>
    <w:rsid w:val="00E12767"/>
    <w:rsid w:val="00E1307A"/>
    <w:rsid w:val="00E1321D"/>
    <w:rsid w:val="00E13933"/>
    <w:rsid w:val="00E1397E"/>
    <w:rsid w:val="00E14A70"/>
    <w:rsid w:val="00E14D2C"/>
    <w:rsid w:val="00E15404"/>
    <w:rsid w:val="00E161B6"/>
    <w:rsid w:val="00E16C65"/>
    <w:rsid w:val="00E17DD9"/>
    <w:rsid w:val="00E21AD2"/>
    <w:rsid w:val="00E22A8E"/>
    <w:rsid w:val="00E2320C"/>
    <w:rsid w:val="00E2337D"/>
    <w:rsid w:val="00E237CC"/>
    <w:rsid w:val="00E2390F"/>
    <w:rsid w:val="00E23FB3"/>
    <w:rsid w:val="00E248A6"/>
    <w:rsid w:val="00E259B4"/>
    <w:rsid w:val="00E25CB2"/>
    <w:rsid w:val="00E26BAB"/>
    <w:rsid w:val="00E26C6E"/>
    <w:rsid w:val="00E26EEA"/>
    <w:rsid w:val="00E27578"/>
    <w:rsid w:val="00E316CA"/>
    <w:rsid w:val="00E31ED9"/>
    <w:rsid w:val="00E3230F"/>
    <w:rsid w:val="00E33CF0"/>
    <w:rsid w:val="00E33F4F"/>
    <w:rsid w:val="00E34D9D"/>
    <w:rsid w:val="00E35701"/>
    <w:rsid w:val="00E36688"/>
    <w:rsid w:val="00E37006"/>
    <w:rsid w:val="00E371F6"/>
    <w:rsid w:val="00E4051C"/>
    <w:rsid w:val="00E4087B"/>
    <w:rsid w:val="00E410C9"/>
    <w:rsid w:val="00E4256F"/>
    <w:rsid w:val="00E425FF"/>
    <w:rsid w:val="00E43EB3"/>
    <w:rsid w:val="00E44DD9"/>
    <w:rsid w:val="00E452CF"/>
    <w:rsid w:val="00E45CDA"/>
    <w:rsid w:val="00E45D40"/>
    <w:rsid w:val="00E4636C"/>
    <w:rsid w:val="00E46726"/>
    <w:rsid w:val="00E46F57"/>
    <w:rsid w:val="00E4760F"/>
    <w:rsid w:val="00E47A1A"/>
    <w:rsid w:val="00E503F9"/>
    <w:rsid w:val="00E51129"/>
    <w:rsid w:val="00E51146"/>
    <w:rsid w:val="00E52A13"/>
    <w:rsid w:val="00E53AD2"/>
    <w:rsid w:val="00E53D00"/>
    <w:rsid w:val="00E53D93"/>
    <w:rsid w:val="00E54075"/>
    <w:rsid w:val="00E540EF"/>
    <w:rsid w:val="00E547B1"/>
    <w:rsid w:val="00E5595D"/>
    <w:rsid w:val="00E55BB9"/>
    <w:rsid w:val="00E5680D"/>
    <w:rsid w:val="00E56D3A"/>
    <w:rsid w:val="00E60357"/>
    <w:rsid w:val="00E609F2"/>
    <w:rsid w:val="00E61089"/>
    <w:rsid w:val="00E613B0"/>
    <w:rsid w:val="00E61C7B"/>
    <w:rsid w:val="00E61D2B"/>
    <w:rsid w:val="00E61F0B"/>
    <w:rsid w:val="00E628DC"/>
    <w:rsid w:val="00E62984"/>
    <w:rsid w:val="00E62D0B"/>
    <w:rsid w:val="00E630ED"/>
    <w:rsid w:val="00E63B6D"/>
    <w:rsid w:val="00E667C5"/>
    <w:rsid w:val="00E669BC"/>
    <w:rsid w:val="00E6713D"/>
    <w:rsid w:val="00E7001C"/>
    <w:rsid w:val="00E7043F"/>
    <w:rsid w:val="00E70481"/>
    <w:rsid w:val="00E70C60"/>
    <w:rsid w:val="00E71022"/>
    <w:rsid w:val="00E71883"/>
    <w:rsid w:val="00E71AC7"/>
    <w:rsid w:val="00E723A7"/>
    <w:rsid w:val="00E726D2"/>
    <w:rsid w:val="00E72E45"/>
    <w:rsid w:val="00E73954"/>
    <w:rsid w:val="00E744DF"/>
    <w:rsid w:val="00E74E2B"/>
    <w:rsid w:val="00E753D2"/>
    <w:rsid w:val="00E75BFF"/>
    <w:rsid w:val="00E76FAD"/>
    <w:rsid w:val="00E77111"/>
    <w:rsid w:val="00E801A9"/>
    <w:rsid w:val="00E80649"/>
    <w:rsid w:val="00E80823"/>
    <w:rsid w:val="00E816F0"/>
    <w:rsid w:val="00E82543"/>
    <w:rsid w:val="00E831A5"/>
    <w:rsid w:val="00E8384F"/>
    <w:rsid w:val="00E852EF"/>
    <w:rsid w:val="00E85C1D"/>
    <w:rsid w:val="00E86F42"/>
    <w:rsid w:val="00E870D2"/>
    <w:rsid w:val="00E871EA"/>
    <w:rsid w:val="00E9016D"/>
    <w:rsid w:val="00E9154B"/>
    <w:rsid w:val="00E920E5"/>
    <w:rsid w:val="00E921CA"/>
    <w:rsid w:val="00E922B4"/>
    <w:rsid w:val="00E927BF"/>
    <w:rsid w:val="00E92C7A"/>
    <w:rsid w:val="00E93625"/>
    <w:rsid w:val="00E93BA4"/>
    <w:rsid w:val="00E94720"/>
    <w:rsid w:val="00E94C11"/>
    <w:rsid w:val="00E94C85"/>
    <w:rsid w:val="00E94CFD"/>
    <w:rsid w:val="00E95492"/>
    <w:rsid w:val="00E9574D"/>
    <w:rsid w:val="00E95BE8"/>
    <w:rsid w:val="00E95CE5"/>
    <w:rsid w:val="00E9606F"/>
    <w:rsid w:val="00E96570"/>
    <w:rsid w:val="00E9671E"/>
    <w:rsid w:val="00E96C4B"/>
    <w:rsid w:val="00E97DDF"/>
    <w:rsid w:val="00EA02D6"/>
    <w:rsid w:val="00EA08B8"/>
    <w:rsid w:val="00EA15CA"/>
    <w:rsid w:val="00EA1996"/>
    <w:rsid w:val="00EA26A6"/>
    <w:rsid w:val="00EA2BC4"/>
    <w:rsid w:val="00EA2E14"/>
    <w:rsid w:val="00EA38EF"/>
    <w:rsid w:val="00EA3EFA"/>
    <w:rsid w:val="00EA4328"/>
    <w:rsid w:val="00EA4A19"/>
    <w:rsid w:val="00EA4BE1"/>
    <w:rsid w:val="00EA4D46"/>
    <w:rsid w:val="00EA4E99"/>
    <w:rsid w:val="00EA4FC0"/>
    <w:rsid w:val="00EA55A4"/>
    <w:rsid w:val="00EA5DBC"/>
    <w:rsid w:val="00EA65F3"/>
    <w:rsid w:val="00EA6F2C"/>
    <w:rsid w:val="00EA707C"/>
    <w:rsid w:val="00EA73BD"/>
    <w:rsid w:val="00EA777B"/>
    <w:rsid w:val="00EB037B"/>
    <w:rsid w:val="00EB09C7"/>
    <w:rsid w:val="00EB12ED"/>
    <w:rsid w:val="00EB133A"/>
    <w:rsid w:val="00EB1B33"/>
    <w:rsid w:val="00EB2BE9"/>
    <w:rsid w:val="00EB2E44"/>
    <w:rsid w:val="00EB350D"/>
    <w:rsid w:val="00EB397A"/>
    <w:rsid w:val="00EB397D"/>
    <w:rsid w:val="00EB3D6B"/>
    <w:rsid w:val="00EB3FF9"/>
    <w:rsid w:val="00EB4912"/>
    <w:rsid w:val="00EB4A7C"/>
    <w:rsid w:val="00EB51AA"/>
    <w:rsid w:val="00EB6F1A"/>
    <w:rsid w:val="00EB7C2D"/>
    <w:rsid w:val="00EC037A"/>
    <w:rsid w:val="00EC0AE1"/>
    <w:rsid w:val="00EC0F6B"/>
    <w:rsid w:val="00EC1B53"/>
    <w:rsid w:val="00EC207A"/>
    <w:rsid w:val="00EC2336"/>
    <w:rsid w:val="00EC287A"/>
    <w:rsid w:val="00EC2991"/>
    <w:rsid w:val="00EC40E5"/>
    <w:rsid w:val="00EC432A"/>
    <w:rsid w:val="00EC455C"/>
    <w:rsid w:val="00EC4765"/>
    <w:rsid w:val="00EC54E7"/>
    <w:rsid w:val="00EC5622"/>
    <w:rsid w:val="00EC66BB"/>
    <w:rsid w:val="00EC673F"/>
    <w:rsid w:val="00EC6913"/>
    <w:rsid w:val="00EC6ADD"/>
    <w:rsid w:val="00EC7296"/>
    <w:rsid w:val="00EC7358"/>
    <w:rsid w:val="00EC79F4"/>
    <w:rsid w:val="00EC7C2F"/>
    <w:rsid w:val="00ED06A4"/>
    <w:rsid w:val="00ED06CF"/>
    <w:rsid w:val="00ED0F4B"/>
    <w:rsid w:val="00ED194C"/>
    <w:rsid w:val="00ED19F4"/>
    <w:rsid w:val="00ED1BDB"/>
    <w:rsid w:val="00ED2B1F"/>
    <w:rsid w:val="00ED3061"/>
    <w:rsid w:val="00ED31BA"/>
    <w:rsid w:val="00ED3965"/>
    <w:rsid w:val="00ED39F6"/>
    <w:rsid w:val="00ED4B59"/>
    <w:rsid w:val="00ED63CA"/>
    <w:rsid w:val="00ED6683"/>
    <w:rsid w:val="00ED768F"/>
    <w:rsid w:val="00ED7DF9"/>
    <w:rsid w:val="00EE04AC"/>
    <w:rsid w:val="00EE1797"/>
    <w:rsid w:val="00EE18B3"/>
    <w:rsid w:val="00EE203D"/>
    <w:rsid w:val="00EE2D91"/>
    <w:rsid w:val="00EE3030"/>
    <w:rsid w:val="00EE3137"/>
    <w:rsid w:val="00EE3243"/>
    <w:rsid w:val="00EE3D10"/>
    <w:rsid w:val="00EE4553"/>
    <w:rsid w:val="00EE4C21"/>
    <w:rsid w:val="00EF02EF"/>
    <w:rsid w:val="00EF04C0"/>
    <w:rsid w:val="00EF08CD"/>
    <w:rsid w:val="00EF0E65"/>
    <w:rsid w:val="00EF18D5"/>
    <w:rsid w:val="00EF19C5"/>
    <w:rsid w:val="00EF2EF7"/>
    <w:rsid w:val="00EF3066"/>
    <w:rsid w:val="00EF3E23"/>
    <w:rsid w:val="00EF3E64"/>
    <w:rsid w:val="00EF481C"/>
    <w:rsid w:val="00EF4E09"/>
    <w:rsid w:val="00EF59E2"/>
    <w:rsid w:val="00EF5F97"/>
    <w:rsid w:val="00EF6330"/>
    <w:rsid w:val="00EF6D51"/>
    <w:rsid w:val="00EF7696"/>
    <w:rsid w:val="00F01BB3"/>
    <w:rsid w:val="00F027F2"/>
    <w:rsid w:val="00F02BB6"/>
    <w:rsid w:val="00F039E8"/>
    <w:rsid w:val="00F04856"/>
    <w:rsid w:val="00F0494C"/>
    <w:rsid w:val="00F05E78"/>
    <w:rsid w:val="00F05F86"/>
    <w:rsid w:val="00F06376"/>
    <w:rsid w:val="00F066D9"/>
    <w:rsid w:val="00F0689C"/>
    <w:rsid w:val="00F071C3"/>
    <w:rsid w:val="00F077E7"/>
    <w:rsid w:val="00F11BDC"/>
    <w:rsid w:val="00F1205A"/>
    <w:rsid w:val="00F12AA2"/>
    <w:rsid w:val="00F13811"/>
    <w:rsid w:val="00F13AA1"/>
    <w:rsid w:val="00F140E3"/>
    <w:rsid w:val="00F14D96"/>
    <w:rsid w:val="00F1517A"/>
    <w:rsid w:val="00F16186"/>
    <w:rsid w:val="00F162AC"/>
    <w:rsid w:val="00F167A9"/>
    <w:rsid w:val="00F20A37"/>
    <w:rsid w:val="00F20BFB"/>
    <w:rsid w:val="00F21140"/>
    <w:rsid w:val="00F2145C"/>
    <w:rsid w:val="00F22845"/>
    <w:rsid w:val="00F22D5B"/>
    <w:rsid w:val="00F2323E"/>
    <w:rsid w:val="00F232E4"/>
    <w:rsid w:val="00F248AD"/>
    <w:rsid w:val="00F24B2F"/>
    <w:rsid w:val="00F25284"/>
    <w:rsid w:val="00F2640F"/>
    <w:rsid w:val="00F26725"/>
    <w:rsid w:val="00F26923"/>
    <w:rsid w:val="00F26942"/>
    <w:rsid w:val="00F26A1F"/>
    <w:rsid w:val="00F26E83"/>
    <w:rsid w:val="00F26F86"/>
    <w:rsid w:val="00F272CB"/>
    <w:rsid w:val="00F27AC1"/>
    <w:rsid w:val="00F306B3"/>
    <w:rsid w:val="00F30C62"/>
    <w:rsid w:val="00F323CC"/>
    <w:rsid w:val="00F326A8"/>
    <w:rsid w:val="00F32F35"/>
    <w:rsid w:val="00F3430F"/>
    <w:rsid w:val="00F34D0B"/>
    <w:rsid w:val="00F34FE1"/>
    <w:rsid w:val="00F3522A"/>
    <w:rsid w:val="00F3571D"/>
    <w:rsid w:val="00F366E9"/>
    <w:rsid w:val="00F36A43"/>
    <w:rsid w:val="00F36C48"/>
    <w:rsid w:val="00F40993"/>
    <w:rsid w:val="00F40AD7"/>
    <w:rsid w:val="00F40DE4"/>
    <w:rsid w:val="00F41187"/>
    <w:rsid w:val="00F41C85"/>
    <w:rsid w:val="00F41CE6"/>
    <w:rsid w:val="00F43E23"/>
    <w:rsid w:val="00F43EF2"/>
    <w:rsid w:val="00F4476E"/>
    <w:rsid w:val="00F448E4"/>
    <w:rsid w:val="00F44C22"/>
    <w:rsid w:val="00F44D4C"/>
    <w:rsid w:val="00F453B5"/>
    <w:rsid w:val="00F455D6"/>
    <w:rsid w:val="00F45AB7"/>
    <w:rsid w:val="00F45DE5"/>
    <w:rsid w:val="00F46A12"/>
    <w:rsid w:val="00F46D02"/>
    <w:rsid w:val="00F4703A"/>
    <w:rsid w:val="00F478D0"/>
    <w:rsid w:val="00F479D4"/>
    <w:rsid w:val="00F47AD9"/>
    <w:rsid w:val="00F506E7"/>
    <w:rsid w:val="00F5090D"/>
    <w:rsid w:val="00F50B45"/>
    <w:rsid w:val="00F5121A"/>
    <w:rsid w:val="00F513B4"/>
    <w:rsid w:val="00F52411"/>
    <w:rsid w:val="00F5318B"/>
    <w:rsid w:val="00F543A5"/>
    <w:rsid w:val="00F54720"/>
    <w:rsid w:val="00F556ED"/>
    <w:rsid w:val="00F557AC"/>
    <w:rsid w:val="00F55946"/>
    <w:rsid w:val="00F55D3D"/>
    <w:rsid w:val="00F569D4"/>
    <w:rsid w:val="00F56C70"/>
    <w:rsid w:val="00F570AD"/>
    <w:rsid w:val="00F57DAE"/>
    <w:rsid w:val="00F57DCE"/>
    <w:rsid w:val="00F57E31"/>
    <w:rsid w:val="00F600B2"/>
    <w:rsid w:val="00F603AC"/>
    <w:rsid w:val="00F60566"/>
    <w:rsid w:val="00F60D40"/>
    <w:rsid w:val="00F60E5F"/>
    <w:rsid w:val="00F60FF2"/>
    <w:rsid w:val="00F61A93"/>
    <w:rsid w:val="00F61C72"/>
    <w:rsid w:val="00F61D21"/>
    <w:rsid w:val="00F61D77"/>
    <w:rsid w:val="00F63064"/>
    <w:rsid w:val="00F6322B"/>
    <w:rsid w:val="00F63695"/>
    <w:rsid w:val="00F639CE"/>
    <w:rsid w:val="00F640BE"/>
    <w:rsid w:val="00F64407"/>
    <w:rsid w:val="00F64654"/>
    <w:rsid w:val="00F64881"/>
    <w:rsid w:val="00F64C98"/>
    <w:rsid w:val="00F65B1A"/>
    <w:rsid w:val="00F660D3"/>
    <w:rsid w:val="00F66DBB"/>
    <w:rsid w:val="00F675C5"/>
    <w:rsid w:val="00F67B8C"/>
    <w:rsid w:val="00F67FEA"/>
    <w:rsid w:val="00F70118"/>
    <w:rsid w:val="00F706D2"/>
    <w:rsid w:val="00F70701"/>
    <w:rsid w:val="00F70E5D"/>
    <w:rsid w:val="00F71B35"/>
    <w:rsid w:val="00F72B47"/>
    <w:rsid w:val="00F72B61"/>
    <w:rsid w:val="00F73207"/>
    <w:rsid w:val="00F7358E"/>
    <w:rsid w:val="00F73BCD"/>
    <w:rsid w:val="00F75554"/>
    <w:rsid w:val="00F767CD"/>
    <w:rsid w:val="00F76B2F"/>
    <w:rsid w:val="00F77579"/>
    <w:rsid w:val="00F77BBF"/>
    <w:rsid w:val="00F81BE1"/>
    <w:rsid w:val="00F81F4D"/>
    <w:rsid w:val="00F824B7"/>
    <w:rsid w:val="00F82DFB"/>
    <w:rsid w:val="00F833B5"/>
    <w:rsid w:val="00F8367B"/>
    <w:rsid w:val="00F83D27"/>
    <w:rsid w:val="00F847F8"/>
    <w:rsid w:val="00F8482D"/>
    <w:rsid w:val="00F858E4"/>
    <w:rsid w:val="00F85A6E"/>
    <w:rsid w:val="00F85DAC"/>
    <w:rsid w:val="00F878EE"/>
    <w:rsid w:val="00F878F7"/>
    <w:rsid w:val="00F87C31"/>
    <w:rsid w:val="00F900E2"/>
    <w:rsid w:val="00F9047E"/>
    <w:rsid w:val="00F90517"/>
    <w:rsid w:val="00F90806"/>
    <w:rsid w:val="00F92083"/>
    <w:rsid w:val="00F9287A"/>
    <w:rsid w:val="00F92A73"/>
    <w:rsid w:val="00F9379B"/>
    <w:rsid w:val="00F93E32"/>
    <w:rsid w:val="00F94490"/>
    <w:rsid w:val="00F94497"/>
    <w:rsid w:val="00F94CC1"/>
    <w:rsid w:val="00F9536A"/>
    <w:rsid w:val="00F959E1"/>
    <w:rsid w:val="00F95B9F"/>
    <w:rsid w:val="00F95DD3"/>
    <w:rsid w:val="00F95E3C"/>
    <w:rsid w:val="00F9615F"/>
    <w:rsid w:val="00F97D8F"/>
    <w:rsid w:val="00FA0120"/>
    <w:rsid w:val="00FA04F7"/>
    <w:rsid w:val="00FA0EF5"/>
    <w:rsid w:val="00FA10FA"/>
    <w:rsid w:val="00FA257F"/>
    <w:rsid w:val="00FA2E8A"/>
    <w:rsid w:val="00FA372B"/>
    <w:rsid w:val="00FA3A14"/>
    <w:rsid w:val="00FA4712"/>
    <w:rsid w:val="00FA47EA"/>
    <w:rsid w:val="00FA4AD5"/>
    <w:rsid w:val="00FA4CAD"/>
    <w:rsid w:val="00FA4CC7"/>
    <w:rsid w:val="00FA5257"/>
    <w:rsid w:val="00FA57EA"/>
    <w:rsid w:val="00FA5AF3"/>
    <w:rsid w:val="00FA5BAA"/>
    <w:rsid w:val="00FA5BF9"/>
    <w:rsid w:val="00FA5F5A"/>
    <w:rsid w:val="00FA67A3"/>
    <w:rsid w:val="00FA69C2"/>
    <w:rsid w:val="00FA6EBB"/>
    <w:rsid w:val="00FA7503"/>
    <w:rsid w:val="00FA797E"/>
    <w:rsid w:val="00FB0034"/>
    <w:rsid w:val="00FB0835"/>
    <w:rsid w:val="00FB0C7E"/>
    <w:rsid w:val="00FB0D2E"/>
    <w:rsid w:val="00FB141F"/>
    <w:rsid w:val="00FB1556"/>
    <w:rsid w:val="00FB2A54"/>
    <w:rsid w:val="00FB2B00"/>
    <w:rsid w:val="00FB339D"/>
    <w:rsid w:val="00FB35F0"/>
    <w:rsid w:val="00FB3BD6"/>
    <w:rsid w:val="00FB3C83"/>
    <w:rsid w:val="00FB53A3"/>
    <w:rsid w:val="00FB67C8"/>
    <w:rsid w:val="00FB75B0"/>
    <w:rsid w:val="00FB7A29"/>
    <w:rsid w:val="00FC0716"/>
    <w:rsid w:val="00FC09DF"/>
    <w:rsid w:val="00FC168C"/>
    <w:rsid w:val="00FC2102"/>
    <w:rsid w:val="00FC223B"/>
    <w:rsid w:val="00FC34CA"/>
    <w:rsid w:val="00FC36C4"/>
    <w:rsid w:val="00FC36F4"/>
    <w:rsid w:val="00FC37B9"/>
    <w:rsid w:val="00FC3AF1"/>
    <w:rsid w:val="00FC3E8E"/>
    <w:rsid w:val="00FC5188"/>
    <w:rsid w:val="00FC5A48"/>
    <w:rsid w:val="00FC62A7"/>
    <w:rsid w:val="00FC62DD"/>
    <w:rsid w:val="00FC6BB2"/>
    <w:rsid w:val="00FC6C87"/>
    <w:rsid w:val="00FC6F00"/>
    <w:rsid w:val="00FC763F"/>
    <w:rsid w:val="00FD0A8C"/>
    <w:rsid w:val="00FD11F6"/>
    <w:rsid w:val="00FD1678"/>
    <w:rsid w:val="00FD1ABC"/>
    <w:rsid w:val="00FD1DBA"/>
    <w:rsid w:val="00FD2265"/>
    <w:rsid w:val="00FD2E9F"/>
    <w:rsid w:val="00FD3277"/>
    <w:rsid w:val="00FD3843"/>
    <w:rsid w:val="00FD388C"/>
    <w:rsid w:val="00FD414A"/>
    <w:rsid w:val="00FD4971"/>
    <w:rsid w:val="00FD4D60"/>
    <w:rsid w:val="00FD53B1"/>
    <w:rsid w:val="00FD582D"/>
    <w:rsid w:val="00FD6417"/>
    <w:rsid w:val="00FD6787"/>
    <w:rsid w:val="00FD6C00"/>
    <w:rsid w:val="00FD6D3C"/>
    <w:rsid w:val="00FD7974"/>
    <w:rsid w:val="00FD7E5D"/>
    <w:rsid w:val="00FD7F35"/>
    <w:rsid w:val="00FE0884"/>
    <w:rsid w:val="00FE0BEB"/>
    <w:rsid w:val="00FE1142"/>
    <w:rsid w:val="00FE13F1"/>
    <w:rsid w:val="00FE162C"/>
    <w:rsid w:val="00FE1A6B"/>
    <w:rsid w:val="00FE274D"/>
    <w:rsid w:val="00FE2C2F"/>
    <w:rsid w:val="00FE2EE3"/>
    <w:rsid w:val="00FE32FF"/>
    <w:rsid w:val="00FE38E2"/>
    <w:rsid w:val="00FE4335"/>
    <w:rsid w:val="00FE4A64"/>
    <w:rsid w:val="00FE4ABF"/>
    <w:rsid w:val="00FE50C3"/>
    <w:rsid w:val="00FE561A"/>
    <w:rsid w:val="00FE5F2E"/>
    <w:rsid w:val="00FE61E2"/>
    <w:rsid w:val="00FE61E3"/>
    <w:rsid w:val="00FE6DA4"/>
    <w:rsid w:val="00FE7165"/>
    <w:rsid w:val="00FE7282"/>
    <w:rsid w:val="00FE730E"/>
    <w:rsid w:val="00FE732D"/>
    <w:rsid w:val="00FE7968"/>
    <w:rsid w:val="00FF0342"/>
    <w:rsid w:val="00FF08A2"/>
    <w:rsid w:val="00FF0977"/>
    <w:rsid w:val="00FF1491"/>
    <w:rsid w:val="00FF16BA"/>
    <w:rsid w:val="00FF1A7B"/>
    <w:rsid w:val="00FF28AB"/>
    <w:rsid w:val="00FF31A4"/>
    <w:rsid w:val="00FF4258"/>
    <w:rsid w:val="00FF4B23"/>
    <w:rsid w:val="00FF5C61"/>
    <w:rsid w:val="00FF6586"/>
    <w:rsid w:val="00FF676B"/>
    <w:rsid w:val="00FF6BD4"/>
    <w:rsid w:val="010B22B0"/>
    <w:rsid w:val="011D4A3E"/>
    <w:rsid w:val="01542CCE"/>
    <w:rsid w:val="015F78C3"/>
    <w:rsid w:val="01826A17"/>
    <w:rsid w:val="019D3888"/>
    <w:rsid w:val="019E3FFC"/>
    <w:rsid w:val="01B14C06"/>
    <w:rsid w:val="01DF5C8D"/>
    <w:rsid w:val="02113E13"/>
    <w:rsid w:val="02467CDA"/>
    <w:rsid w:val="026129E5"/>
    <w:rsid w:val="02AA4DEA"/>
    <w:rsid w:val="02B022A5"/>
    <w:rsid w:val="02D03F1B"/>
    <w:rsid w:val="02DE4D04"/>
    <w:rsid w:val="02F66FDA"/>
    <w:rsid w:val="03335C13"/>
    <w:rsid w:val="035739C7"/>
    <w:rsid w:val="036202EF"/>
    <w:rsid w:val="03675CDC"/>
    <w:rsid w:val="03863974"/>
    <w:rsid w:val="03B00ED5"/>
    <w:rsid w:val="03B22EA7"/>
    <w:rsid w:val="03C54999"/>
    <w:rsid w:val="04184E01"/>
    <w:rsid w:val="041D67BA"/>
    <w:rsid w:val="04431866"/>
    <w:rsid w:val="049C1D57"/>
    <w:rsid w:val="04BA40B1"/>
    <w:rsid w:val="04BB1539"/>
    <w:rsid w:val="04C602CD"/>
    <w:rsid w:val="04CE5ACF"/>
    <w:rsid w:val="04F23572"/>
    <w:rsid w:val="05145E3A"/>
    <w:rsid w:val="055E1FCB"/>
    <w:rsid w:val="056A0342"/>
    <w:rsid w:val="056A6B58"/>
    <w:rsid w:val="057C79EF"/>
    <w:rsid w:val="058A1758"/>
    <w:rsid w:val="0592242A"/>
    <w:rsid w:val="05D83BCA"/>
    <w:rsid w:val="05DE15E9"/>
    <w:rsid w:val="05E26A18"/>
    <w:rsid w:val="05E64861"/>
    <w:rsid w:val="061614DB"/>
    <w:rsid w:val="063B2973"/>
    <w:rsid w:val="068C2025"/>
    <w:rsid w:val="06920C03"/>
    <w:rsid w:val="06932988"/>
    <w:rsid w:val="069F7723"/>
    <w:rsid w:val="06EB1D63"/>
    <w:rsid w:val="06ED08E9"/>
    <w:rsid w:val="073E6713"/>
    <w:rsid w:val="074844C9"/>
    <w:rsid w:val="076849D5"/>
    <w:rsid w:val="076C0B55"/>
    <w:rsid w:val="076E6E77"/>
    <w:rsid w:val="078A5A76"/>
    <w:rsid w:val="07B16307"/>
    <w:rsid w:val="07CF0279"/>
    <w:rsid w:val="07DB0C2F"/>
    <w:rsid w:val="07F43A9E"/>
    <w:rsid w:val="0806538B"/>
    <w:rsid w:val="08614A39"/>
    <w:rsid w:val="0869588A"/>
    <w:rsid w:val="0877730B"/>
    <w:rsid w:val="08997B83"/>
    <w:rsid w:val="08AC1D5B"/>
    <w:rsid w:val="08B448D6"/>
    <w:rsid w:val="08BC6008"/>
    <w:rsid w:val="08BD365D"/>
    <w:rsid w:val="08EB6E83"/>
    <w:rsid w:val="08F90B1C"/>
    <w:rsid w:val="092A1A49"/>
    <w:rsid w:val="092B7519"/>
    <w:rsid w:val="093C6C08"/>
    <w:rsid w:val="096B00AD"/>
    <w:rsid w:val="097561E4"/>
    <w:rsid w:val="09CD0C86"/>
    <w:rsid w:val="0A080C65"/>
    <w:rsid w:val="0A0E45A1"/>
    <w:rsid w:val="0A0F5BA6"/>
    <w:rsid w:val="0A1159C6"/>
    <w:rsid w:val="0A191F80"/>
    <w:rsid w:val="0A2D5046"/>
    <w:rsid w:val="0AAB1614"/>
    <w:rsid w:val="0ABA779A"/>
    <w:rsid w:val="0ADC46B6"/>
    <w:rsid w:val="0AEF1A19"/>
    <w:rsid w:val="0B0C53F6"/>
    <w:rsid w:val="0B356B62"/>
    <w:rsid w:val="0B4B1C22"/>
    <w:rsid w:val="0B4E1BFB"/>
    <w:rsid w:val="0B633653"/>
    <w:rsid w:val="0B782A19"/>
    <w:rsid w:val="0B8D3BA6"/>
    <w:rsid w:val="0BB836AB"/>
    <w:rsid w:val="0BBE689D"/>
    <w:rsid w:val="0BD51E39"/>
    <w:rsid w:val="0BED0F30"/>
    <w:rsid w:val="0BF2304D"/>
    <w:rsid w:val="0C302B18"/>
    <w:rsid w:val="0C3668FC"/>
    <w:rsid w:val="0C5E5E27"/>
    <w:rsid w:val="0C7568DA"/>
    <w:rsid w:val="0CB251F0"/>
    <w:rsid w:val="0CC32763"/>
    <w:rsid w:val="0CDF4E47"/>
    <w:rsid w:val="0CE37362"/>
    <w:rsid w:val="0CFF69F6"/>
    <w:rsid w:val="0D1A1E56"/>
    <w:rsid w:val="0D295F98"/>
    <w:rsid w:val="0D4D3237"/>
    <w:rsid w:val="0D661E0C"/>
    <w:rsid w:val="0D707823"/>
    <w:rsid w:val="0D721AC3"/>
    <w:rsid w:val="0D8C54FC"/>
    <w:rsid w:val="0DA637C8"/>
    <w:rsid w:val="0DA950E5"/>
    <w:rsid w:val="0DC3019B"/>
    <w:rsid w:val="0DDA54E4"/>
    <w:rsid w:val="0E1221D1"/>
    <w:rsid w:val="0E1432B2"/>
    <w:rsid w:val="0EFC24E4"/>
    <w:rsid w:val="0F235F6D"/>
    <w:rsid w:val="0F357E5F"/>
    <w:rsid w:val="0F4D143D"/>
    <w:rsid w:val="0FAC356D"/>
    <w:rsid w:val="0FBD0386"/>
    <w:rsid w:val="0FC44D70"/>
    <w:rsid w:val="0FFC1742"/>
    <w:rsid w:val="10357E48"/>
    <w:rsid w:val="103E5719"/>
    <w:rsid w:val="104B5E06"/>
    <w:rsid w:val="1053332C"/>
    <w:rsid w:val="108005C5"/>
    <w:rsid w:val="10B4247E"/>
    <w:rsid w:val="10C02120"/>
    <w:rsid w:val="10C81F6C"/>
    <w:rsid w:val="10CD30DE"/>
    <w:rsid w:val="115B653B"/>
    <w:rsid w:val="11A62DD1"/>
    <w:rsid w:val="11DA695E"/>
    <w:rsid w:val="11F0441B"/>
    <w:rsid w:val="11F251A9"/>
    <w:rsid w:val="11F71276"/>
    <w:rsid w:val="12073D56"/>
    <w:rsid w:val="12443492"/>
    <w:rsid w:val="124A7225"/>
    <w:rsid w:val="12580240"/>
    <w:rsid w:val="127532CF"/>
    <w:rsid w:val="128B5B09"/>
    <w:rsid w:val="128D2C73"/>
    <w:rsid w:val="12955E7E"/>
    <w:rsid w:val="12CC5E2F"/>
    <w:rsid w:val="12F71682"/>
    <w:rsid w:val="133D13E5"/>
    <w:rsid w:val="135710C8"/>
    <w:rsid w:val="13826A09"/>
    <w:rsid w:val="13832F4F"/>
    <w:rsid w:val="13DA1FAE"/>
    <w:rsid w:val="13F97CA7"/>
    <w:rsid w:val="140E1F32"/>
    <w:rsid w:val="1412518A"/>
    <w:rsid w:val="14215C1B"/>
    <w:rsid w:val="142E6795"/>
    <w:rsid w:val="14A16D5C"/>
    <w:rsid w:val="14CB318C"/>
    <w:rsid w:val="14F42E5A"/>
    <w:rsid w:val="14F92252"/>
    <w:rsid w:val="14FC00D9"/>
    <w:rsid w:val="15190695"/>
    <w:rsid w:val="1525173B"/>
    <w:rsid w:val="15290BF1"/>
    <w:rsid w:val="15325C06"/>
    <w:rsid w:val="1542409B"/>
    <w:rsid w:val="15497F5D"/>
    <w:rsid w:val="158C7B66"/>
    <w:rsid w:val="15A56156"/>
    <w:rsid w:val="15B047DA"/>
    <w:rsid w:val="15B162B2"/>
    <w:rsid w:val="15F31839"/>
    <w:rsid w:val="15F66362"/>
    <w:rsid w:val="16073E30"/>
    <w:rsid w:val="16797B5F"/>
    <w:rsid w:val="169E5ACB"/>
    <w:rsid w:val="16CB1BED"/>
    <w:rsid w:val="173914CE"/>
    <w:rsid w:val="173C0FBE"/>
    <w:rsid w:val="1749786D"/>
    <w:rsid w:val="17501148"/>
    <w:rsid w:val="17A43B97"/>
    <w:rsid w:val="17A95B4A"/>
    <w:rsid w:val="17AE4BAB"/>
    <w:rsid w:val="17B47D73"/>
    <w:rsid w:val="17B74E54"/>
    <w:rsid w:val="17C5717A"/>
    <w:rsid w:val="17D92F19"/>
    <w:rsid w:val="18A4506D"/>
    <w:rsid w:val="18BA452E"/>
    <w:rsid w:val="18DA5164"/>
    <w:rsid w:val="18EE4971"/>
    <w:rsid w:val="190535D2"/>
    <w:rsid w:val="191B7494"/>
    <w:rsid w:val="193D1971"/>
    <w:rsid w:val="196C541F"/>
    <w:rsid w:val="19724DF3"/>
    <w:rsid w:val="19874772"/>
    <w:rsid w:val="199C7756"/>
    <w:rsid w:val="19B109AE"/>
    <w:rsid w:val="19C27368"/>
    <w:rsid w:val="19E40661"/>
    <w:rsid w:val="1A04751E"/>
    <w:rsid w:val="1A1F22F0"/>
    <w:rsid w:val="1A256795"/>
    <w:rsid w:val="1A2810C6"/>
    <w:rsid w:val="1A2A1E33"/>
    <w:rsid w:val="1A9D59C5"/>
    <w:rsid w:val="1AA621F7"/>
    <w:rsid w:val="1B0B6AE6"/>
    <w:rsid w:val="1B2B737F"/>
    <w:rsid w:val="1B333284"/>
    <w:rsid w:val="1BA8111A"/>
    <w:rsid w:val="1BB377D0"/>
    <w:rsid w:val="1BC77CD6"/>
    <w:rsid w:val="1BD872DA"/>
    <w:rsid w:val="1C1E6C4B"/>
    <w:rsid w:val="1C2B4F32"/>
    <w:rsid w:val="1C2C23A5"/>
    <w:rsid w:val="1C2F10F1"/>
    <w:rsid w:val="1C346708"/>
    <w:rsid w:val="1C3A7E55"/>
    <w:rsid w:val="1C4E1577"/>
    <w:rsid w:val="1C714697"/>
    <w:rsid w:val="1CB05CDE"/>
    <w:rsid w:val="1CB67E51"/>
    <w:rsid w:val="1CC7677A"/>
    <w:rsid w:val="1CFC0A47"/>
    <w:rsid w:val="1D1D5016"/>
    <w:rsid w:val="1D5C1A72"/>
    <w:rsid w:val="1D660B43"/>
    <w:rsid w:val="1D7B6C8C"/>
    <w:rsid w:val="1D8E5E39"/>
    <w:rsid w:val="1DD106B2"/>
    <w:rsid w:val="1DF20A0E"/>
    <w:rsid w:val="1E846B5E"/>
    <w:rsid w:val="1EB620EB"/>
    <w:rsid w:val="1EB8717C"/>
    <w:rsid w:val="1EC82853"/>
    <w:rsid w:val="1ECB1A9E"/>
    <w:rsid w:val="1EE139B7"/>
    <w:rsid w:val="1EE21B83"/>
    <w:rsid w:val="1F2B0260"/>
    <w:rsid w:val="1F6D0757"/>
    <w:rsid w:val="1F8B2AE2"/>
    <w:rsid w:val="1F993E90"/>
    <w:rsid w:val="1F9A2D26"/>
    <w:rsid w:val="1FCD1E69"/>
    <w:rsid w:val="1FD8032B"/>
    <w:rsid w:val="201137D3"/>
    <w:rsid w:val="203A28B7"/>
    <w:rsid w:val="20482782"/>
    <w:rsid w:val="205830F8"/>
    <w:rsid w:val="20583FA4"/>
    <w:rsid w:val="20715D25"/>
    <w:rsid w:val="208F215E"/>
    <w:rsid w:val="20BB43C8"/>
    <w:rsid w:val="20C33F60"/>
    <w:rsid w:val="20E71F9A"/>
    <w:rsid w:val="20EE6483"/>
    <w:rsid w:val="210049EC"/>
    <w:rsid w:val="211D11F3"/>
    <w:rsid w:val="21294361"/>
    <w:rsid w:val="213441E5"/>
    <w:rsid w:val="216E6218"/>
    <w:rsid w:val="218A61C7"/>
    <w:rsid w:val="218C77AC"/>
    <w:rsid w:val="21D00C81"/>
    <w:rsid w:val="21D02A2F"/>
    <w:rsid w:val="22462048"/>
    <w:rsid w:val="22685958"/>
    <w:rsid w:val="22785E4A"/>
    <w:rsid w:val="229C135D"/>
    <w:rsid w:val="22A94279"/>
    <w:rsid w:val="22B239B0"/>
    <w:rsid w:val="23CD05C5"/>
    <w:rsid w:val="23DD1F18"/>
    <w:rsid w:val="23E07106"/>
    <w:rsid w:val="23EF1B19"/>
    <w:rsid w:val="23F65C02"/>
    <w:rsid w:val="244769B8"/>
    <w:rsid w:val="2461433E"/>
    <w:rsid w:val="24674CA6"/>
    <w:rsid w:val="24990400"/>
    <w:rsid w:val="24A57836"/>
    <w:rsid w:val="24E93DDA"/>
    <w:rsid w:val="253B6B94"/>
    <w:rsid w:val="25421E95"/>
    <w:rsid w:val="25913D7C"/>
    <w:rsid w:val="25A80A8A"/>
    <w:rsid w:val="25A958E0"/>
    <w:rsid w:val="25C1716E"/>
    <w:rsid w:val="25DA3E7C"/>
    <w:rsid w:val="260F670F"/>
    <w:rsid w:val="262F41BF"/>
    <w:rsid w:val="264C3AC9"/>
    <w:rsid w:val="26655046"/>
    <w:rsid w:val="26794C79"/>
    <w:rsid w:val="26814E75"/>
    <w:rsid w:val="26AA5F44"/>
    <w:rsid w:val="26F87075"/>
    <w:rsid w:val="2741168D"/>
    <w:rsid w:val="274B539E"/>
    <w:rsid w:val="274B649E"/>
    <w:rsid w:val="275413E2"/>
    <w:rsid w:val="2757627F"/>
    <w:rsid w:val="27AE01C7"/>
    <w:rsid w:val="27F76427"/>
    <w:rsid w:val="280F2A00"/>
    <w:rsid w:val="28102763"/>
    <w:rsid w:val="281F4F80"/>
    <w:rsid w:val="28302479"/>
    <w:rsid w:val="283E2B90"/>
    <w:rsid w:val="283E3FC5"/>
    <w:rsid w:val="2846360A"/>
    <w:rsid w:val="284F2B9E"/>
    <w:rsid w:val="28771E56"/>
    <w:rsid w:val="287A1946"/>
    <w:rsid w:val="287E5311"/>
    <w:rsid w:val="288307FB"/>
    <w:rsid w:val="28872DA4"/>
    <w:rsid w:val="289F613A"/>
    <w:rsid w:val="28DD5486"/>
    <w:rsid w:val="28E76FDC"/>
    <w:rsid w:val="292A5635"/>
    <w:rsid w:val="29395D1E"/>
    <w:rsid w:val="293B42B3"/>
    <w:rsid w:val="29490A9C"/>
    <w:rsid w:val="296F6FD1"/>
    <w:rsid w:val="29851C57"/>
    <w:rsid w:val="29A7676B"/>
    <w:rsid w:val="29CA4D20"/>
    <w:rsid w:val="2A1738F0"/>
    <w:rsid w:val="2A257690"/>
    <w:rsid w:val="2A2B739C"/>
    <w:rsid w:val="2A3C34D0"/>
    <w:rsid w:val="2A3F6E7F"/>
    <w:rsid w:val="2A61688D"/>
    <w:rsid w:val="2A736BBE"/>
    <w:rsid w:val="2A9C231A"/>
    <w:rsid w:val="2AF768D6"/>
    <w:rsid w:val="2B3123B0"/>
    <w:rsid w:val="2B551A7F"/>
    <w:rsid w:val="2B6F32B8"/>
    <w:rsid w:val="2B8D5567"/>
    <w:rsid w:val="2BB4516F"/>
    <w:rsid w:val="2BC13088"/>
    <w:rsid w:val="2BCD10D6"/>
    <w:rsid w:val="2C1005F7"/>
    <w:rsid w:val="2C150AC6"/>
    <w:rsid w:val="2C161986"/>
    <w:rsid w:val="2C3F3C21"/>
    <w:rsid w:val="2C5921A9"/>
    <w:rsid w:val="2C5E1671"/>
    <w:rsid w:val="2C970D19"/>
    <w:rsid w:val="2CA44EB3"/>
    <w:rsid w:val="2CB44417"/>
    <w:rsid w:val="2D0F50AF"/>
    <w:rsid w:val="2D2A1796"/>
    <w:rsid w:val="2D2A22F1"/>
    <w:rsid w:val="2D3F0F85"/>
    <w:rsid w:val="2D4479C8"/>
    <w:rsid w:val="2D5251E9"/>
    <w:rsid w:val="2D581045"/>
    <w:rsid w:val="2D8A2AE2"/>
    <w:rsid w:val="2D8A5FD4"/>
    <w:rsid w:val="2D8B0017"/>
    <w:rsid w:val="2D9051D5"/>
    <w:rsid w:val="2DA95ABF"/>
    <w:rsid w:val="2DC50A52"/>
    <w:rsid w:val="2DDC4B27"/>
    <w:rsid w:val="2DF202AA"/>
    <w:rsid w:val="2E0119F6"/>
    <w:rsid w:val="2E12514F"/>
    <w:rsid w:val="2E293BF2"/>
    <w:rsid w:val="2E452053"/>
    <w:rsid w:val="2E4B24D4"/>
    <w:rsid w:val="2E4D45ED"/>
    <w:rsid w:val="2E636E9D"/>
    <w:rsid w:val="2E8E1CA7"/>
    <w:rsid w:val="2E937BB3"/>
    <w:rsid w:val="2EA8720D"/>
    <w:rsid w:val="2EF61020"/>
    <w:rsid w:val="2F2A671F"/>
    <w:rsid w:val="2F5779DA"/>
    <w:rsid w:val="2F933B64"/>
    <w:rsid w:val="2FAC09BF"/>
    <w:rsid w:val="2FCD6A3E"/>
    <w:rsid w:val="2FFA272C"/>
    <w:rsid w:val="30046139"/>
    <w:rsid w:val="302F5E11"/>
    <w:rsid w:val="305D5027"/>
    <w:rsid w:val="30A74890"/>
    <w:rsid w:val="30B72A6B"/>
    <w:rsid w:val="30C67797"/>
    <w:rsid w:val="30D77936"/>
    <w:rsid w:val="30F2476F"/>
    <w:rsid w:val="31054413"/>
    <w:rsid w:val="310B75DF"/>
    <w:rsid w:val="31101575"/>
    <w:rsid w:val="31221389"/>
    <w:rsid w:val="312452F6"/>
    <w:rsid w:val="312E18A6"/>
    <w:rsid w:val="31385B48"/>
    <w:rsid w:val="31552513"/>
    <w:rsid w:val="31794FEE"/>
    <w:rsid w:val="31840E35"/>
    <w:rsid w:val="31907216"/>
    <w:rsid w:val="31A50F78"/>
    <w:rsid w:val="31C77794"/>
    <w:rsid w:val="321A2F2E"/>
    <w:rsid w:val="321A7927"/>
    <w:rsid w:val="328A4B78"/>
    <w:rsid w:val="329B4993"/>
    <w:rsid w:val="32BF42CE"/>
    <w:rsid w:val="32CB47B7"/>
    <w:rsid w:val="32D70F83"/>
    <w:rsid w:val="32FD4EC6"/>
    <w:rsid w:val="33120D65"/>
    <w:rsid w:val="33593295"/>
    <w:rsid w:val="33613E2E"/>
    <w:rsid w:val="33A855B9"/>
    <w:rsid w:val="33C348EA"/>
    <w:rsid w:val="33DB2CF0"/>
    <w:rsid w:val="34601572"/>
    <w:rsid w:val="346868F9"/>
    <w:rsid w:val="347250E2"/>
    <w:rsid w:val="347E0CF9"/>
    <w:rsid w:val="349377CB"/>
    <w:rsid w:val="34AD659F"/>
    <w:rsid w:val="34D10A74"/>
    <w:rsid w:val="34ED5A90"/>
    <w:rsid w:val="350354A8"/>
    <w:rsid w:val="35185312"/>
    <w:rsid w:val="351C5B5C"/>
    <w:rsid w:val="35277FCA"/>
    <w:rsid w:val="353852AA"/>
    <w:rsid w:val="355736E8"/>
    <w:rsid w:val="356B15D7"/>
    <w:rsid w:val="35B61A5C"/>
    <w:rsid w:val="35C240E2"/>
    <w:rsid w:val="35F92DFD"/>
    <w:rsid w:val="36381CED"/>
    <w:rsid w:val="36497E77"/>
    <w:rsid w:val="364D2448"/>
    <w:rsid w:val="364E0E09"/>
    <w:rsid w:val="36780399"/>
    <w:rsid w:val="36993752"/>
    <w:rsid w:val="36A10CD2"/>
    <w:rsid w:val="370635B5"/>
    <w:rsid w:val="3707385C"/>
    <w:rsid w:val="37231483"/>
    <w:rsid w:val="376660F9"/>
    <w:rsid w:val="377D6D5D"/>
    <w:rsid w:val="37814CC4"/>
    <w:rsid w:val="37A17754"/>
    <w:rsid w:val="37A672D6"/>
    <w:rsid w:val="37B16A00"/>
    <w:rsid w:val="37C9088C"/>
    <w:rsid w:val="37E87B6A"/>
    <w:rsid w:val="380A68D2"/>
    <w:rsid w:val="380B4DAA"/>
    <w:rsid w:val="38125C51"/>
    <w:rsid w:val="38251072"/>
    <w:rsid w:val="383E0D2A"/>
    <w:rsid w:val="38412D0C"/>
    <w:rsid w:val="384C0C7B"/>
    <w:rsid w:val="38522B60"/>
    <w:rsid w:val="389425B0"/>
    <w:rsid w:val="389A748A"/>
    <w:rsid w:val="389F080E"/>
    <w:rsid w:val="38E423B9"/>
    <w:rsid w:val="39334494"/>
    <w:rsid w:val="393F251C"/>
    <w:rsid w:val="39B675D5"/>
    <w:rsid w:val="39BE37F4"/>
    <w:rsid w:val="39C2084D"/>
    <w:rsid w:val="39C27792"/>
    <w:rsid w:val="39C6288F"/>
    <w:rsid w:val="39E3395F"/>
    <w:rsid w:val="39ED55D8"/>
    <w:rsid w:val="3A085469"/>
    <w:rsid w:val="3A850140"/>
    <w:rsid w:val="3AB369E9"/>
    <w:rsid w:val="3AC3203F"/>
    <w:rsid w:val="3AD44EE6"/>
    <w:rsid w:val="3B070E17"/>
    <w:rsid w:val="3B0F0373"/>
    <w:rsid w:val="3B526EA5"/>
    <w:rsid w:val="3B7B4CCA"/>
    <w:rsid w:val="3B800BCA"/>
    <w:rsid w:val="3B80166C"/>
    <w:rsid w:val="3B9E1570"/>
    <w:rsid w:val="3BC22866"/>
    <w:rsid w:val="3C1737F9"/>
    <w:rsid w:val="3C1E41B5"/>
    <w:rsid w:val="3C4B6DAF"/>
    <w:rsid w:val="3C5D5C92"/>
    <w:rsid w:val="3C7E361C"/>
    <w:rsid w:val="3C942595"/>
    <w:rsid w:val="3CA77402"/>
    <w:rsid w:val="3CD112FD"/>
    <w:rsid w:val="3CE32EAE"/>
    <w:rsid w:val="3CE37B2B"/>
    <w:rsid w:val="3CF77D72"/>
    <w:rsid w:val="3D162DB7"/>
    <w:rsid w:val="3D431EEA"/>
    <w:rsid w:val="3D7161DC"/>
    <w:rsid w:val="3D8E1A0A"/>
    <w:rsid w:val="3D985D4B"/>
    <w:rsid w:val="3E027EF3"/>
    <w:rsid w:val="3E2C5C98"/>
    <w:rsid w:val="3E302D01"/>
    <w:rsid w:val="3E6A3E24"/>
    <w:rsid w:val="3E9F1660"/>
    <w:rsid w:val="3EB221E9"/>
    <w:rsid w:val="3EBC5C25"/>
    <w:rsid w:val="3F313E49"/>
    <w:rsid w:val="3F351BC8"/>
    <w:rsid w:val="3F3F7188"/>
    <w:rsid w:val="3FC348ED"/>
    <w:rsid w:val="3FDE6583"/>
    <w:rsid w:val="3FF1104D"/>
    <w:rsid w:val="400E7372"/>
    <w:rsid w:val="406E1939"/>
    <w:rsid w:val="40B938B7"/>
    <w:rsid w:val="40D07A35"/>
    <w:rsid w:val="41016309"/>
    <w:rsid w:val="41406E31"/>
    <w:rsid w:val="415B7799"/>
    <w:rsid w:val="41933465"/>
    <w:rsid w:val="4194218E"/>
    <w:rsid w:val="41A575DC"/>
    <w:rsid w:val="41B25855"/>
    <w:rsid w:val="41CF6360"/>
    <w:rsid w:val="41D972D1"/>
    <w:rsid w:val="41ED769E"/>
    <w:rsid w:val="41FB544E"/>
    <w:rsid w:val="41FF4F3E"/>
    <w:rsid w:val="42222F31"/>
    <w:rsid w:val="42293D69"/>
    <w:rsid w:val="424346A0"/>
    <w:rsid w:val="42461312"/>
    <w:rsid w:val="426618EB"/>
    <w:rsid w:val="427174BE"/>
    <w:rsid w:val="42F84556"/>
    <w:rsid w:val="43122AEC"/>
    <w:rsid w:val="4320452B"/>
    <w:rsid w:val="436C43E1"/>
    <w:rsid w:val="43A74F56"/>
    <w:rsid w:val="43B2320D"/>
    <w:rsid w:val="43B27D8E"/>
    <w:rsid w:val="43DA3F28"/>
    <w:rsid w:val="440C56F0"/>
    <w:rsid w:val="44321CE7"/>
    <w:rsid w:val="44763779"/>
    <w:rsid w:val="447A5C4B"/>
    <w:rsid w:val="449F0D58"/>
    <w:rsid w:val="44AE7537"/>
    <w:rsid w:val="44CE6D14"/>
    <w:rsid w:val="44D34460"/>
    <w:rsid w:val="452C25A0"/>
    <w:rsid w:val="45324577"/>
    <w:rsid w:val="45765A0D"/>
    <w:rsid w:val="457F1CFC"/>
    <w:rsid w:val="457F34B7"/>
    <w:rsid w:val="4582152B"/>
    <w:rsid w:val="45922C38"/>
    <w:rsid w:val="45DF038C"/>
    <w:rsid w:val="45EA1A61"/>
    <w:rsid w:val="45EF1A32"/>
    <w:rsid w:val="462C207A"/>
    <w:rsid w:val="462E5DF2"/>
    <w:rsid w:val="463C7AD1"/>
    <w:rsid w:val="46450BE1"/>
    <w:rsid w:val="465A6BE7"/>
    <w:rsid w:val="465F5FAB"/>
    <w:rsid w:val="46806659"/>
    <w:rsid w:val="468B47CA"/>
    <w:rsid w:val="46954E4B"/>
    <w:rsid w:val="46A9191C"/>
    <w:rsid w:val="46AC0946"/>
    <w:rsid w:val="46AD5381"/>
    <w:rsid w:val="46BF7C6C"/>
    <w:rsid w:val="46FA357B"/>
    <w:rsid w:val="46FB2D30"/>
    <w:rsid w:val="47067350"/>
    <w:rsid w:val="47086643"/>
    <w:rsid w:val="473B6E5C"/>
    <w:rsid w:val="47502F6E"/>
    <w:rsid w:val="47590201"/>
    <w:rsid w:val="476B2854"/>
    <w:rsid w:val="47A7457A"/>
    <w:rsid w:val="47AD18B7"/>
    <w:rsid w:val="48312F3D"/>
    <w:rsid w:val="483471C8"/>
    <w:rsid w:val="483C511D"/>
    <w:rsid w:val="484D0086"/>
    <w:rsid w:val="486376A5"/>
    <w:rsid w:val="487C1D01"/>
    <w:rsid w:val="489F7F75"/>
    <w:rsid w:val="48A30348"/>
    <w:rsid w:val="48AE4FC8"/>
    <w:rsid w:val="48DD64FB"/>
    <w:rsid w:val="48E24C72"/>
    <w:rsid w:val="48FD18FA"/>
    <w:rsid w:val="49004208"/>
    <w:rsid w:val="49146174"/>
    <w:rsid w:val="491C40D1"/>
    <w:rsid w:val="49331473"/>
    <w:rsid w:val="49471A51"/>
    <w:rsid w:val="49517A2B"/>
    <w:rsid w:val="496422D5"/>
    <w:rsid w:val="498F5898"/>
    <w:rsid w:val="49946D14"/>
    <w:rsid w:val="499B7BAE"/>
    <w:rsid w:val="49BD1177"/>
    <w:rsid w:val="49D871F3"/>
    <w:rsid w:val="49DD6273"/>
    <w:rsid w:val="49F36DD4"/>
    <w:rsid w:val="49F509D5"/>
    <w:rsid w:val="4A6A3C8C"/>
    <w:rsid w:val="4A823058"/>
    <w:rsid w:val="4AA87DD1"/>
    <w:rsid w:val="4AC22FAD"/>
    <w:rsid w:val="4AEF1D46"/>
    <w:rsid w:val="4B23102C"/>
    <w:rsid w:val="4B383D59"/>
    <w:rsid w:val="4B420366"/>
    <w:rsid w:val="4B66236B"/>
    <w:rsid w:val="4B667A61"/>
    <w:rsid w:val="4B731C59"/>
    <w:rsid w:val="4B791051"/>
    <w:rsid w:val="4B9330E8"/>
    <w:rsid w:val="4B965CD2"/>
    <w:rsid w:val="4BBA23D7"/>
    <w:rsid w:val="4BD94910"/>
    <w:rsid w:val="4C0061A6"/>
    <w:rsid w:val="4C321BDD"/>
    <w:rsid w:val="4C341C88"/>
    <w:rsid w:val="4C3473A6"/>
    <w:rsid w:val="4C466C24"/>
    <w:rsid w:val="4C5F1DF3"/>
    <w:rsid w:val="4C653BF0"/>
    <w:rsid w:val="4C97070D"/>
    <w:rsid w:val="4CA613E0"/>
    <w:rsid w:val="4CAE7BB3"/>
    <w:rsid w:val="4CD86138"/>
    <w:rsid w:val="4CE3153D"/>
    <w:rsid w:val="4CFF3400"/>
    <w:rsid w:val="4D0D0FC1"/>
    <w:rsid w:val="4D2C2228"/>
    <w:rsid w:val="4D4E1345"/>
    <w:rsid w:val="4D9517CC"/>
    <w:rsid w:val="4DAF5DCC"/>
    <w:rsid w:val="4DB27309"/>
    <w:rsid w:val="4DBF3A7C"/>
    <w:rsid w:val="4DC90FEF"/>
    <w:rsid w:val="4E003B24"/>
    <w:rsid w:val="4E1A6E23"/>
    <w:rsid w:val="4E2875CB"/>
    <w:rsid w:val="4E547C8D"/>
    <w:rsid w:val="4E5528C1"/>
    <w:rsid w:val="4E686BCB"/>
    <w:rsid w:val="4E7945A1"/>
    <w:rsid w:val="4E9104BB"/>
    <w:rsid w:val="4EB10FED"/>
    <w:rsid w:val="4EE411EA"/>
    <w:rsid w:val="4EE64790"/>
    <w:rsid w:val="4F0220B2"/>
    <w:rsid w:val="4F5D575A"/>
    <w:rsid w:val="4F717B58"/>
    <w:rsid w:val="4F717CEE"/>
    <w:rsid w:val="4F783C58"/>
    <w:rsid w:val="4F9B0224"/>
    <w:rsid w:val="4F9E469C"/>
    <w:rsid w:val="4FA038E0"/>
    <w:rsid w:val="4FA703CD"/>
    <w:rsid w:val="4FB5081C"/>
    <w:rsid w:val="4FD712A8"/>
    <w:rsid w:val="4FD972F4"/>
    <w:rsid w:val="4FF40258"/>
    <w:rsid w:val="4FF61C1E"/>
    <w:rsid w:val="500103F0"/>
    <w:rsid w:val="502A02A5"/>
    <w:rsid w:val="506014FC"/>
    <w:rsid w:val="506B4928"/>
    <w:rsid w:val="506F328F"/>
    <w:rsid w:val="5092125E"/>
    <w:rsid w:val="50D6508B"/>
    <w:rsid w:val="50FF2B03"/>
    <w:rsid w:val="5139688C"/>
    <w:rsid w:val="513B13C3"/>
    <w:rsid w:val="515A63E7"/>
    <w:rsid w:val="51662929"/>
    <w:rsid w:val="51B32B04"/>
    <w:rsid w:val="51C770FB"/>
    <w:rsid w:val="51D5628B"/>
    <w:rsid w:val="51E13050"/>
    <w:rsid w:val="51E15F78"/>
    <w:rsid w:val="51FA6B34"/>
    <w:rsid w:val="52232583"/>
    <w:rsid w:val="52402F3E"/>
    <w:rsid w:val="5266041D"/>
    <w:rsid w:val="526C2198"/>
    <w:rsid w:val="526F5F03"/>
    <w:rsid w:val="52C61FCD"/>
    <w:rsid w:val="52E857BB"/>
    <w:rsid w:val="52FC016C"/>
    <w:rsid w:val="52FD630A"/>
    <w:rsid w:val="53037862"/>
    <w:rsid w:val="530C3E45"/>
    <w:rsid w:val="53252E0C"/>
    <w:rsid w:val="532659DA"/>
    <w:rsid w:val="53295326"/>
    <w:rsid w:val="53634424"/>
    <w:rsid w:val="537058DC"/>
    <w:rsid w:val="53807DBC"/>
    <w:rsid w:val="53845672"/>
    <w:rsid w:val="544C5FC6"/>
    <w:rsid w:val="547846DC"/>
    <w:rsid w:val="54B4086B"/>
    <w:rsid w:val="54DE1A4A"/>
    <w:rsid w:val="54F27FBC"/>
    <w:rsid w:val="551D4DA5"/>
    <w:rsid w:val="55915083"/>
    <w:rsid w:val="55E53FF3"/>
    <w:rsid w:val="560046AD"/>
    <w:rsid w:val="560501F2"/>
    <w:rsid w:val="561F3061"/>
    <w:rsid w:val="5651048E"/>
    <w:rsid w:val="567A0776"/>
    <w:rsid w:val="56957592"/>
    <w:rsid w:val="56D4365E"/>
    <w:rsid w:val="56EB51A7"/>
    <w:rsid w:val="56FC29CC"/>
    <w:rsid w:val="56FF1417"/>
    <w:rsid w:val="56FF2E93"/>
    <w:rsid w:val="57055BBC"/>
    <w:rsid w:val="57164B9F"/>
    <w:rsid w:val="576C6F1B"/>
    <w:rsid w:val="5777712B"/>
    <w:rsid w:val="57803FD4"/>
    <w:rsid w:val="57A2219C"/>
    <w:rsid w:val="57A81574"/>
    <w:rsid w:val="57AA3DB3"/>
    <w:rsid w:val="57CF170A"/>
    <w:rsid w:val="57DD1EDC"/>
    <w:rsid w:val="57E813A6"/>
    <w:rsid w:val="58037FF6"/>
    <w:rsid w:val="58507920"/>
    <w:rsid w:val="58615BB3"/>
    <w:rsid w:val="58920A4B"/>
    <w:rsid w:val="589337E8"/>
    <w:rsid w:val="58B14227"/>
    <w:rsid w:val="58D977F5"/>
    <w:rsid w:val="58F20F01"/>
    <w:rsid w:val="58F65B59"/>
    <w:rsid w:val="593E01F8"/>
    <w:rsid w:val="59525334"/>
    <w:rsid w:val="597E2795"/>
    <w:rsid w:val="59947380"/>
    <w:rsid w:val="59C17EB1"/>
    <w:rsid w:val="59CD7849"/>
    <w:rsid w:val="59EA46DD"/>
    <w:rsid w:val="59FD38CB"/>
    <w:rsid w:val="5A2E41BB"/>
    <w:rsid w:val="5A722A5E"/>
    <w:rsid w:val="5A727282"/>
    <w:rsid w:val="5A7E453A"/>
    <w:rsid w:val="5ADF2E4F"/>
    <w:rsid w:val="5AEC714A"/>
    <w:rsid w:val="5B6936C2"/>
    <w:rsid w:val="5B845A1D"/>
    <w:rsid w:val="5B8A5421"/>
    <w:rsid w:val="5BAD7361"/>
    <w:rsid w:val="5BAE41B4"/>
    <w:rsid w:val="5BAF2B87"/>
    <w:rsid w:val="5BD72CF9"/>
    <w:rsid w:val="5BD756CD"/>
    <w:rsid w:val="5C0004FF"/>
    <w:rsid w:val="5C2C6512"/>
    <w:rsid w:val="5C2F74C6"/>
    <w:rsid w:val="5C335AB8"/>
    <w:rsid w:val="5C5D6C66"/>
    <w:rsid w:val="5C6A076E"/>
    <w:rsid w:val="5C804F74"/>
    <w:rsid w:val="5C82434A"/>
    <w:rsid w:val="5CF24137"/>
    <w:rsid w:val="5CFB3C1D"/>
    <w:rsid w:val="5D1A4582"/>
    <w:rsid w:val="5D2412E6"/>
    <w:rsid w:val="5D325E76"/>
    <w:rsid w:val="5D7C040D"/>
    <w:rsid w:val="5D7E2D63"/>
    <w:rsid w:val="5D8124CB"/>
    <w:rsid w:val="5DCD3CEB"/>
    <w:rsid w:val="5DD45079"/>
    <w:rsid w:val="5DF43025"/>
    <w:rsid w:val="5E5140DC"/>
    <w:rsid w:val="5EB71065"/>
    <w:rsid w:val="5F1423A9"/>
    <w:rsid w:val="5F267371"/>
    <w:rsid w:val="5F492A07"/>
    <w:rsid w:val="5F4B4EC7"/>
    <w:rsid w:val="5F562DF1"/>
    <w:rsid w:val="5F7B3FD5"/>
    <w:rsid w:val="5F981967"/>
    <w:rsid w:val="5FF67555"/>
    <w:rsid w:val="60041F1E"/>
    <w:rsid w:val="600472BA"/>
    <w:rsid w:val="60377A1E"/>
    <w:rsid w:val="60472E5E"/>
    <w:rsid w:val="60483AFC"/>
    <w:rsid w:val="606721D5"/>
    <w:rsid w:val="606C13F2"/>
    <w:rsid w:val="608C5810"/>
    <w:rsid w:val="609378D4"/>
    <w:rsid w:val="60A15BF4"/>
    <w:rsid w:val="60A64840"/>
    <w:rsid w:val="60C83541"/>
    <w:rsid w:val="60CA39AC"/>
    <w:rsid w:val="61001941"/>
    <w:rsid w:val="612C4942"/>
    <w:rsid w:val="61731C76"/>
    <w:rsid w:val="61B419DC"/>
    <w:rsid w:val="61C739EA"/>
    <w:rsid w:val="61E864AA"/>
    <w:rsid w:val="61FA0AEC"/>
    <w:rsid w:val="621A794E"/>
    <w:rsid w:val="627922CB"/>
    <w:rsid w:val="62792318"/>
    <w:rsid w:val="62B73A84"/>
    <w:rsid w:val="62D312A2"/>
    <w:rsid w:val="62E47068"/>
    <w:rsid w:val="62F13FD7"/>
    <w:rsid w:val="63155F18"/>
    <w:rsid w:val="636861C5"/>
    <w:rsid w:val="636A274B"/>
    <w:rsid w:val="63702E9E"/>
    <w:rsid w:val="637073BB"/>
    <w:rsid w:val="637D1C65"/>
    <w:rsid w:val="639C37FF"/>
    <w:rsid w:val="63A20691"/>
    <w:rsid w:val="63D002AE"/>
    <w:rsid w:val="63E87AE1"/>
    <w:rsid w:val="63E93F1E"/>
    <w:rsid w:val="643E4C93"/>
    <w:rsid w:val="64803865"/>
    <w:rsid w:val="64835E33"/>
    <w:rsid w:val="64884333"/>
    <w:rsid w:val="648F3AA8"/>
    <w:rsid w:val="64926EDD"/>
    <w:rsid w:val="649A3472"/>
    <w:rsid w:val="65222B6E"/>
    <w:rsid w:val="65240F4C"/>
    <w:rsid w:val="65402FF4"/>
    <w:rsid w:val="65983E97"/>
    <w:rsid w:val="65983F51"/>
    <w:rsid w:val="659B1C67"/>
    <w:rsid w:val="65A6554D"/>
    <w:rsid w:val="65A92BA3"/>
    <w:rsid w:val="66055BA0"/>
    <w:rsid w:val="661F0E5C"/>
    <w:rsid w:val="663A4B95"/>
    <w:rsid w:val="66622933"/>
    <w:rsid w:val="667400AB"/>
    <w:rsid w:val="668B1482"/>
    <w:rsid w:val="6699646B"/>
    <w:rsid w:val="66A15D14"/>
    <w:rsid w:val="66C07984"/>
    <w:rsid w:val="66F90F33"/>
    <w:rsid w:val="67262D18"/>
    <w:rsid w:val="6748611A"/>
    <w:rsid w:val="675B0BF0"/>
    <w:rsid w:val="676A687D"/>
    <w:rsid w:val="676D060A"/>
    <w:rsid w:val="678633EE"/>
    <w:rsid w:val="68062497"/>
    <w:rsid w:val="68887E9C"/>
    <w:rsid w:val="68A56C80"/>
    <w:rsid w:val="68A95582"/>
    <w:rsid w:val="68C92ED3"/>
    <w:rsid w:val="68D814E1"/>
    <w:rsid w:val="68F640F6"/>
    <w:rsid w:val="69026F3E"/>
    <w:rsid w:val="694D7A74"/>
    <w:rsid w:val="69512552"/>
    <w:rsid w:val="6965127B"/>
    <w:rsid w:val="69D856CA"/>
    <w:rsid w:val="69F90E0E"/>
    <w:rsid w:val="6A051C34"/>
    <w:rsid w:val="6A091374"/>
    <w:rsid w:val="6A2904FB"/>
    <w:rsid w:val="6AA62B73"/>
    <w:rsid w:val="6AB574B0"/>
    <w:rsid w:val="6ADA0E6F"/>
    <w:rsid w:val="6B02247E"/>
    <w:rsid w:val="6B212F3C"/>
    <w:rsid w:val="6B360EF0"/>
    <w:rsid w:val="6B405AFC"/>
    <w:rsid w:val="6B4C0980"/>
    <w:rsid w:val="6B4F21E3"/>
    <w:rsid w:val="6BE909B6"/>
    <w:rsid w:val="6C0F7A3A"/>
    <w:rsid w:val="6C105DDD"/>
    <w:rsid w:val="6C3B6CDA"/>
    <w:rsid w:val="6CD524A0"/>
    <w:rsid w:val="6CFC1649"/>
    <w:rsid w:val="6D001847"/>
    <w:rsid w:val="6D0E4699"/>
    <w:rsid w:val="6D3B2A1F"/>
    <w:rsid w:val="6D3C747C"/>
    <w:rsid w:val="6D4A18B4"/>
    <w:rsid w:val="6D4F3A89"/>
    <w:rsid w:val="6D536A54"/>
    <w:rsid w:val="6D971773"/>
    <w:rsid w:val="6D9739CD"/>
    <w:rsid w:val="6D9747A0"/>
    <w:rsid w:val="6DC23BF0"/>
    <w:rsid w:val="6DEC04F3"/>
    <w:rsid w:val="6DFB4D93"/>
    <w:rsid w:val="6E0134F9"/>
    <w:rsid w:val="6E16392E"/>
    <w:rsid w:val="6E3336F6"/>
    <w:rsid w:val="6E4571CB"/>
    <w:rsid w:val="6E5E60E2"/>
    <w:rsid w:val="6E623FDB"/>
    <w:rsid w:val="6E844EEA"/>
    <w:rsid w:val="6E93252A"/>
    <w:rsid w:val="6E9C6F69"/>
    <w:rsid w:val="6EB44C60"/>
    <w:rsid w:val="6EDA6267"/>
    <w:rsid w:val="6EF862F1"/>
    <w:rsid w:val="6F125A01"/>
    <w:rsid w:val="6F2E2A9C"/>
    <w:rsid w:val="6F2E4AF3"/>
    <w:rsid w:val="6F694582"/>
    <w:rsid w:val="6F863886"/>
    <w:rsid w:val="6F9A3CF3"/>
    <w:rsid w:val="6FA10B33"/>
    <w:rsid w:val="6FB30AAA"/>
    <w:rsid w:val="6FB93444"/>
    <w:rsid w:val="6FD20CED"/>
    <w:rsid w:val="6FEF6960"/>
    <w:rsid w:val="6FF04E1F"/>
    <w:rsid w:val="70246DD1"/>
    <w:rsid w:val="7071775A"/>
    <w:rsid w:val="70A1703D"/>
    <w:rsid w:val="70DD5EA0"/>
    <w:rsid w:val="70E632B3"/>
    <w:rsid w:val="71187903"/>
    <w:rsid w:val="71386683"/>
    <w:rsid w:val="713A66C6"/>
    <w:rsid w:val="71682D6E"/>
    <w:rsid w:val="71C708D6"/>
    <w:rsid w:val="721F290F"/>
    <w:rsid w:val="72263EF1"/>
    <w:rsid w:val="723D1833"/>
    <w:rsid w:val="724A2491"/>
    <w:rsid w:val="724C7300"/>
    <w:rsid w:val="727B5FB8"/>
    <w:rsid w:val="72BA2B4E"/>
    <w:rsid w:val="72BA675E"/>
    <w:rsid w:val="73006B8A"/>
    <w:rsid w:val="73132B5A"/>
    <w:rsid w:val="73226B5C"/>
    <w:rsid w:val="734F591D"/>
    <w:rsid w:val="7363220B"/>
    <w:rsid w:val="73955B50"/>
    <w:rsid w:val="73AA1727"/>
    <w:rsid w:val="73DC06B6"/>
    <w:rsid w:val="73DF733F"/>
    <w:rsid w:val="73E033D8"/>
    <w:rsid w:val="74130252"/>
    <w:rsid w:val="7425710E"/>
    <w:rsid w:val="7437321D"/>
    <w:rsid w:val="74453AA1"/>
    <w:rsid w:val="74654825"/>
    <w:rsid w:val="748574CD"/>
    <w:rsid w:val="74960A1D"/>
    <w:rsid w:val="74A449EF"/>
    <w:rsid w:val="74AF267B"/>
    <w:rsid w:val="74B1705C"/>
    <w:rsid w:val="750A032E"/>
    <w:rsid w:val="750C4CA1"/>
    <w:rsid w:val="755C6CD7"/>
    <w:rsid w:val="755F1E15"/>
    <w:rsid w:val="75600590"/>
    <w:rsid w:val="756B19C7"/>
    <w:rsid w:val="756C19BE"/>
    <w:rsid w:val="757F3A75"/>
    <w:rsid w:val="759B2413"/>
    <w:rsid w:val="7625679C"/>
    <w:rsid w:val="7641171E"/>
    <w:rsid w:val="765C34F3"/>
    <w:rsid w:val="76606F7B"/>
    <w:rsid w:val="76685F07"/>
    <w:rsid w:val="76BD58A8"/>
    <w:rsid w:val="76CB7118"/>
    <w:rsid w:val="76D0242A"/>
    <w:rsid w:val="76F978EB"/>
    <w:rsid w:val="7738632C"/>
    <w:rsid w:val="77AB34FE"/>
    <w:rsid w:val="77B35C5A"/>
    <w:rsid w:val="784F3822"/>
    <w:rsid w:val="78685024"/>
    <w:rsid w:val="786D2D5D"/>
    <w:rsid w:val="78B6564F"/>
    <w:rsid w:val="78E24696"/>
    <w:rsid w:val="790E0CA2"/>
    <w:rsid w:val="79356997"/>
    <w:rsid w:val="79366790"/>
    <w:rsid w:val="793A20FF"/>
    <w:rsid w:val="79646E59"/>
    <w:rsid w:val="79683D59"/>
    <w:rsid w:val="79792EF8"/>
    <w:rsid w:val="79A95164"/>
    <w:rsid w:val="79BB2C90"/>
    <w:rsid w:val="79D72A55"/>
    <w:rsid w:val="7A0E320E"/>
    <w:rsid w:val="7A16749A"/>
    <w:rsid w:val="7A4B55C3"/>
    <w:rsid w:val="7A506133"/>
    <w:rsid w:val="7A625C10"/>
    <w:rsid w:val="7A6D732C"/>
    <w:rsid w:val="7A6E420C"/>
    <w:rsid w:val="7A952309"/>
    <w:rsid w:val="7AAC63BF"/>
    <w:rsid w:val="7AAE525B"/>
    <w:rsid w:val="7AB91648"/>
    <w:rsid w:val="7AE01F6A"/>
    <w:rsid w:val="7AF20D65"/>
    <w:rsid w:val="7AFC14E6"/>
    <w:rsid w:val="7B733FAB"/>
    <w:rsid w:val="7B9839A3"/>
    <w:rsid w:val="7BD32B7F"/>
    <w:rsid w:val="7BE80646"/>
    <w:rsid w:val="7C0848FA"/>
    <w:rsid w:val="7C176405"/>
    <w:rsid w:val="7C682375"/>
    <w:rsid w:val="7C7462A5"/>
    <w:rsid w:val="7CA038CF"/>
    <w:rsid w:val="7CA777EF"/>
    <w:rsid w:val="7CE03687"/>
    <w:rsid w:val="7CE258FF"/>
    <w:rsid w:val="7D031206"/>
    <w:rsid w:val="7D2A4A44"/>
    <w:rsid w:val="7D3E5EAC"/>
    <w:rsid w:val="7D723584"/>
    <w:rsid w:val="7DB20677"/>
    <w:rsid w:val="7DBD6B13"/>
    <w:rsid w:val="7DDD54E1"/>
    <w:rsid w:val="7DE308B9"/>
    <w:rsid w:val="7DEF583E"/>
    <w:rsid w:val="7E413C0D"/>
    <w:rsid w:val="7E4A7EBC"/>
    <w:rsid w:val="7E4F3662"/>
    <w:rsid w:val="7E625689"/>
    <w:rsid w:val="7EA04BB4"/>
    <w:rsid w:val="7EDB62D4"/>
    <w:rsid w:val="7EEF45B5"/>
    <w:rsid w:val="7EFF1E4A"/>
    <w:rsid w:val="7F02796E"/>
    <w:rsid w:val="7F051CD1"/>
    <w:rsid w:val="7F187F60"/>
    <w:rsid w:val="7F2350C1"/>
    <w:rsid w:val="7F3E3C5B"/>
    <w:rsid w:val="7F530CFC"/>
    <w:rsid w:val="7F6D0717"/>
    <w:rsid w:val="7F88493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qFormat="1" w:unhideWhenUsed="0"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99" w:semiHidden="0" w:name="List"/>
    <w:lsdException w:uiPriority="99" w:name="List Bullet"/>
    <w:lsdException w:qFormat="1" w:unhideWhenUsed="0"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99" w:semiHidden="0" w:name="List Number 2"/>
    <w:lsdException w:qFormat="1" w:unhideWhenUsed="0" w:uiPriority="99" w:semiHidden="0"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99" w:semiHidden="0" w:name="HTML Acronym"/>
    <w:lsdException w:uiPriority="99"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qFormat="1" w:unhideWhenUsed="0" w:uiPriority="99" w:semiHidden="0"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qFormat="1"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31"/>
    <w:autoRedefine/>
    <w:qFormat/>
    <w:uiPriority w:val="0"/>
    <w:pPr>
      <w:keepNext/>
      <w:keepLines/>
      <w:spacing w:line="360" w:lineRule="auto"/>
      <w:outlineLvl w:val="0"/>
    </w:pPr>
    <w:rPr>
      <w:rFonts w:eastAsia="黑体"/>
      <w:b/>
      <w:bCs/>
      <w:kern w:val="44"/>
      <w:sz w:val="44"/>
      <w:szCs w:val="44"/>
    </w:rPr>
  </w:style>
  <w:style w:type="paragraph" w:styleId="3">
    <w:name w:val="heading 2"/>
    <w:basedOn w:val="1"/>
    <w:next w:val="1"/>
    <w:link w:val="138"/>
    <w:autoRedefine/>
    <w:qFormat/>
    <w:uiPriority w:val="0"/>
    <w:pPr>
      <w:keepNext/>
      <w:keepLines/>
      <w:spacing w:before="60" w:after="60" w:line="413" w:lineRule="auto"/>
      <w:outlineLvl w:val="1"/>
    </w:pPr>
    <w:rPr>
      <w:rFonts w:ascii="Arial" w:hAnsi="Arial" w:eastAsia="黑体"/>
      <w:b/>
      <w:bCs/>
      <w:sz w:val="32"/>
      <w:szCs w:val="32"/>
    </w:rPr>
  </w:style>
  <w:style w:type="paragraph" w:styleId="4">
    <w:name w:val="heading 3"/>
    <w:basedOn w:val="1"/>
    <w:next w:val="1"/>
    <w:link w:val="145"/>
    <w:autoRedefine/>
    <w:qFormat/>
    <w:uiPriority w:val="0"/>
    <w:pPr>
      <w:keepNext/>
      <w:keepLines/>
      <w:spacing w:line="360" w:lineRule="auto"/>
      <w:outlineLvl w:val="2"/>
    </w:pPr>
    <w:rPr>
      <w:rFonts w:eastAsia="黑体"/>
      <w:b/>
      <w:bCs/>
      <w:sz w:val="32"/>
      <w:szCs w:val="32"/>
    </w:rPr>
  </w:style>
  <w:style w:type="paragraph" w:styleId="5">
    <w:name w:val="heading 4"/>
    <w:basedOn w:val="1"/>
    <w:next w:val="1"/>
    <w:link w:val="187"/>
    <w:autoRedefine/>
    <w:qFormat/>
    <w:uiPriority w:val="0"/>
    <w:pPr>
      <w:keepNext/>
      <w:keepLines/>
      <w:spacing w:line="360" w:lineRule="auto"/>
      <w:outlineLvl w:val="3"/>
    </w:pPr>
    <w:rPr>
      <w:rFonts w:ascii="Arial" w:hAnsi="Arial"/>
      <w:b/>
      <w:bCs/>
      <w:sz w:val="28"/>
      <w:szCs w:val="28"/>
    </w:rPr>
  </w:style>
  <w:style w:type="paragraph" w:styleId="6">
    <w:name w:val="heading 5"/>
    <w:basedOn w:val="1"/>
    <w:next w:val="1"/>
    <w:link w:val="166"/>
    <w:autoRedefine/>
    <w:qFormat/>
    <w:uiPriority w:val="0"/>
    <w:pPr>
      <w:keepNext/>
      <w:keepLines/>
      <w:spacing w:before="280" w:after="290" w:line="376" w:lineRule="auto"/>
      <w:outlineLvl w:val="4"/>
    </w:pPr>
    <w:rPr>
      <w:b/>
      <w:bCs/>
      <w:sz w:val="28"/>
      <w:szCs w:val="28"/>
    </w:rPr>
  </w:style>
  <w:style w:type="paragraph" w:styleId="7">
    <w:name w:val="heading 6"/>
    <w:basedOn w:val="1"/>
    <w:next w:val="1"/>
    <w:link w:val="77"/>
    <w:autoRedefine/>
    <w:qFormat/>
    <w:uiPriority w:val="0"/>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8"/>
    <w:autoRedefine/>
    <w:qFormat/>
    <w:uiPriority w:val="0"/>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9"/>
    <w:autoRedefine/>
    <w:qFormat/>
    <w:uiPriority w:val="0"/>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80"/>
    <w:autoRedefine/>
    <w:qFormat/>
    <w:uiPriority w:val="0"/>
    <w:pPr>
      <w:keepNext/>
      <w:keepLines/>
      <w:spacing w:before="240" w:after="64" w:line="317" w:lineRule="auto"/>
      <w:outlineLvl w:val="8"/>
    </w:pPr>
    <w:rPr>
      <w:rFonts w:ascii="Cambria" w:hAnsi="Cambria" w:cs="Cambria"/>
    </w:rPr>
  </w:style>
  <w:style w:type="character" w:default="1" w:styleId="55">
    <w:name w:val="Default Paragraph Font"/>
    <w:autoRedefine/>
    <w:semiHidden/>
    <w:unhideWhenUsed/>
    <w:qFormat/>
    <w:uiPriority w:val="1"/>
  </w:style>
  <w:style w:type="table" w:default="1" w:styleId="51">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0"/>
    <w:pPr>
      <w:ind w:left="2520" w:leftChars="1200"/>
    </w:pPr>
    <w:rPr>
      <w:rFonts w:ascii="Calibri" w:hAnsi="Calibri" w:cs="Calibri"/>
    </w:rPr>
  </w:style>
  <w:style w:type="paragraph" w:styleId="12">
    <w:name w:val="List Number 2"/>
    <w:basedOn w:val="1"/>
    <w:autoRedefine/>
    <w:qFormat/>
    <w:uiPriority w:val="99"/>
    <w:pPr>
      <w:widowControl/>
      <w:tabs>
        <w:tab w:val="left" w:pos="1697"/>
      </w:tabs>
      <w:spacing w:afterLines="50"/>
      <w:ind w:left="1697" w:hanging="420"/>
      <w:jc w:val="left"/>
    </w:pPr>
    <w:rPr>
      <w:kern w:val="0"/>
      <w:sz w:val="24"/>
      <w:szCs w:val="24"/>
    </w:rPr>
  </w:style>
  <w:style w:type="paragraph" w:styleId="13">
    <w:name w:val="List Number"/>
    <w:basedOn w:val="1"/>
    <w:autoRedefine/>
    <w:qFormat/>
    <w:uiPriority w:val="99"/>
    <w:pPr>
      <w:widowControl/>
      <w:tabs>
        <w:tab w:val="left" w:pos="360"/>
        <w:tab w:val="left" w:pos="454"/>
      </w:tabs>
      <w:spacing w:afterLines="50"/>
      <w:ind w:left="454" w:hanging="284"/>
      <w:jc w:val="left"/>
    </w:pPr>
    <w:rPr>
      <w:kern w:val="0"/>
      <w:sz w:val="24"/>
      <w:szCs w:val="24"/>
    </w:rPr>
  </w:style>
  <w:style w:type="paragraph" w:styleId="14">
    <w:name w:val="Normal Indent"/>
    <w:basedOn w:val="1"/>
    <w:link w:val="144"/>
    <w:autoRedefine/>
    <w:qFormat/>
    <w:uiPriority w:val="0"/>
    <w:pPr>
      <w:widowControl/>
      <w:ind w:firstLine="420"/>
      <w:jc w:val="left"/>
    </w:pPr>
    <w:rPr>
      <w:sz w:val="24"/>
      <w:szCs w:val="24"/>
    </w:rPr>
  </w:style>
  <w:style w:type="paragraph" w:styleId="15">
    <w:name w:val="caption"/>
    <w:basedOn w:val="1"/>
    <w:next w:val="1"/>
    <w:autoRedefine/>
    <w:qFormat/>
    <w:uiPriority w:val="0"/>
    <w:rPr>
      <w:rFonts w:ascii="Cambria" w:hAnsi="Cambria" w:eastAsia="黑体" w:cs="Cambria"/>
      <w:sz w:val="20"/>
      <w:szCs w:val="20"/>
    </w:rPr>
  </w:style>
  <w:style w:type="paragraph" w:styleId="16">
    <w:name w:val="index 5"/>
    <w:basedOn w:val="1"/>
    <w:next w:val="1"/>
    <w:autoRedefine/>
    <w:semiHidden/>
    <w:qFormat/>
    <w:uiPriority w:val="99"/>
    <w:pPr>
      <w:ind w:left="800" w:leftChars="800"/>
    </w:pPr>
  </w:style>
  <w:style w:type="paragraph" w:styleId="17">
    <w:name w:val="Document Map"/>
    <w:basedOn w:val="1"/>
    <w:link w:val="218"/>
    <w:autoRedefine/>
    <w:qFormat/>
    <w:uiPriority w:val="0"/>
    <w:pPr>
      <w:shd w:val="clear" w:color="auto" w:fill="000080"/>
    </w:pPr>
    <w:rPr>
      <w:sz w:val="24"/>
      <w:szCs w:val="24"/>
      <w:shd w:val="clear" w:color="auto" w:fill="000080"/>
    </w:rPr>
  </w:style>
  <w:style w:type="paragraph" w:styleId="18">
    <w:name w:val="toa heading"/>
    <w:basedOn w:val="1"/>
    <w:next w:val="1"/>
    <w:autoRedefine/>
    <w:qFormat/>
    <w:uiPriority w:val="0"/>
    <w:pPr>
      <w:adjustRightInd w:val="0"/>
      <w:spacing w:line="360" w:lineRule="atLeast"/>
      <w:jc w:val="center"/>
      <w:textAlignment w:val="baseline"/>
    </w:pPr>
    <w:rPr>
      <w:rFonts w:ascii="Arial" w:hAnsi="Arial" w:eastAsia="黑体" w:cs="Arial"/>
      <w:kern w:val="0"/>
      <w:sz w:val="36"/>
      <w:szCs w:val="36"/>
    </w:rPr>
  </w:style>
  <w:style w:type="paragraph" w:styleId="19">
    <w:name w:val="annotation text"/>
    <w:basedOn w:val="1"/>
    <w:link w:val="204"/>
    <w:autoRedefine/>
    <w:qFormat/>
    <w:uiPriority w:val="0"/>
    <w:pPr>
      <w:jc w:val="left"/>
    </w:pPr>
    <w:rPr>
      <w:sz w:val="24"/>
      <w:szCs w:val="24"/>
    </w:rPr>
  </w:style>
  <w:style w:type="paragraph" w:styleId="20">
    <w:name w:val="Body Text 3"/>
    <w:basedOn w:val="1"/>
    <w:link w:val="207"/>
    <w:autoRedefine/>
    <w:qFormat/>
    <w:uiPriority w:val="99"/>
    <w:pPr>
      <w:spacing w:after="120"/>
    </w:pPr>
    <w:rPr>
      <w:sz w:val="16"/>
      <w:szCs w:val="16"/>
    </w:rPr>
  </w:style>
  <w:style w:type="paragraph" w:styleId="21">
    <w:name w:val="Body Text"/>
    <w:basedOn w:val="1"/>
    <w:next w:val="1"/>
    <w:link w:val="214"/>
    <w:autoRedefine/>
    <w:qFormat/>
    <w:uiPriority w:val="0"/>
    <w:pPr>
      <w:adjustRightInd w:val="0"/>
      <w:spacing w:after="60" w:line="360" w:lineRule="atLeast"/>
      <w:ind w:left="72" w:leftChars="30" w:right="30" w:rightChars="30"/>
      <w:jc w:val="center"/>
      <w:textAlignment w:val="baseline"/>
    </w:pPr>
    <w:rPr>
      <w:sz w:val="22"/>
      <w:szCs w:val="22"/>
    </w:rPr>
  </w:style>
  <w:style w:type="paragraph" w:styleId="22">
    <w:name w:val="Body Text Indent"/>
    <w:basedOn w:val="1"/>
    <w:link w:val="217"/>
    <w:autoRedefine/>
    <w:qFormat/>
    <w:uiPriority w:val="0"/>
    <w:pPr>
      <w:spacing w:before="240" w:line="360" w:lineRule="auto"/>
      <w:ind w:firstLine="552" w:firstLineChars="263"/>
    </w:pPr>
    <w:rPr>
      <w:rFonts w:ascii="宋体"/>
    </w:rPr>
  </w:style>
  <w:style w:type="paragraph" w:styleId="23">
    <w:name w:val="List Number 3"/>
    <w:basedOn w:val="1"/>
    <w:autoRedefine/>
    <w:qFormat/>
    <w:uiPriority w:val="99"/>
    <w:pPr>
      <w:widowControl/>
      <w:tabs>
        <w:tab w:val="left" w:pos="482"/>
        <w:tab w:val="left" w:pos="1200"/>
      </w:tabs>
      <w:spacing w:afterLines="50"/>
      <w:ind w:left="482" w:hanging="340"/>
      <w:jc w:val="left"/>
    </w:pPr>
    <w:rPr>
      <w:kern w:val="0"/>
      <w:sz w:val="24"/>
      <w:szCs w:val="24"/>
    </w:rPr>
  </w:style>
  <w:style w:type="paragraph" w:styleId="24">
    <w:name w:val="Block Text"/>
    <w:basedOn w:val="1"/>
    <w:autoRedefine/>
    <w:qFormat/>
    <w:uiPriority w:val="0"/>
    <w:pPr>
      <w:adjustRightInd w:val="0"/>
      <w:ind w:left="420" w:right="33"/>
      <w:jc w:val="left"/>
      <w:textAlignment w:val="baseline"/>
    </w:pPr>
    <w:rPr>
      <w:kern w:val="0"/>
      <w:sz w:val="24"/>
      <w:szCs w:val="24"/>
    </w:rPr>
  </w:style>
  <w:style w:type="paragraph" w:styleId="25">
    <w:name w:val="index 4"/>
    <w:basedOn w:val="1"/>
    <w:next w:val="1"/>
    <w:autoRedefine/>
    <w:qFormat/>
    <w:uiPriority w:val="0"/>
    <w:pPr>
      <w:ind w:left="600" w:leftChars="600"/>
    </w:pPr>
  </w:style>
  <w:style w:type="paragraph" w:styleId="26">
    <w:name w:val="toc 5"/>
    <w:basedOn w:val="1"/>
    <w:next w:val="1"/>
    <w:autoRedefine/>
    <w:qFormat/>
    <w:uiPriority w:val="0"/>
    <w:pPr>
      <w:ind w:left="1680" w:leftChars="800"/>
    </w:pPr>
    <w:rPr>
      <w:rFonts w:ascii="Calibri" w:hAnsi="Calibri" w:cs="Calibri"/>
    </w:rPr>
  </w:style>
  <w:style w:type="paragraph" w:styleId="27">
    <w:name w:val="toc 3"/>
    <w:basedOn w:val="28"/>
    <w:next w:val="28"/>
    <w:autoRedefine/>
    <w:qFormat/>
    <w:uiPriority w:val="0"/>
    <w:pPr>
      <w:ind w:left="840" w:leftChars="400"/>
    </w:pPr>
  </w:style>
  <w:style w:type="paragraph" w:customStyle="1" w:styleId="28">
    <w:name w:val="正文_0"/>
    <w:autoRedefine/>
    <w:qFormat/>
    <w:uiPriority w:val="0"/>
    <w:pPr>
      <w:widowControl w:val="0"/>
      <w:jc w:val="both"/>
    </w:pPr>
    <w:rPr>
      <w:rFonts w:ascii="Calibri" w:hAnsi="Calibri" w:eastAsia="宋体" w:cs="Calibri"/>
      <w:kern w:val="2"/>
      <w:sz w:val="21"/>
      <w:szCs w:val="21"/>
      <w:lang w:val="en-US" w:eastAsia="zh-CN" w:bidi="ar-SA"/>
    </w:rPr>
  </w:style>
  <w:style w:type="paragraph" w:styleId="29">
    <w:name w:val="Plain Text"/>
    <w:basedOn w:val="1"/>
    <w:link w:val="206"/>
    <w:autoRedefine/>
    <w:qFormat/>
    <w:uiPriority w:val="0"/>
    <w:rPr>
      <w:rFonts w:ascii="宋体" w:hAnsi="Courier New"/>
      <w:sz w:val="24"/>
      <w:szCs w:val="24"/>
    </w:rPr>
  </w:style>
  <w:style w:type="paragraph" w:styleId="30">
    <w:name w:val="toc 8"/>
    <w:basedOn w:val="1"/>
    <w:next w:val="1"/>
    <w:autoRedefine/>
    <w:qFormat/>
    <w:uiPriority w:val="0"/>
    <w:pPr>
      <w:ind w:left="2940" w:leftChars="1400"/>
    </w:pPr>
    <w:rPr>
      <w:rFonts w:ascii="Calibri" w:hAnsi="Calibri" w:cs="Calibri"/>
    </w:rPr>
  </w:style>
  <w:style w:type="paragraph" w:styleId="31">
    <w:name w:val="Date"/>
    <w:basedOn w:val="1"/>
    <w:next w:val="1"/>
    <w:link w:val="210"/>
    <w:autoRedefine/>
    <w:qFormat/>
    <w:uiPriority w:val="0"/>
    <w:pPr>
      <w:ind w:left="100" w:leftChars="2500"/>
    </w:pPr>
    <w:rPr>
      <w:sz w:val="24"/>
      <w:szCs w:val="24"/>
    </w:rPr>
  </w:style>
  <w:style w:type="paragraph" w:styleId="32">
    <w:name w:val="Body Text Indent 2"/>
    <w:basedOn w:val="1"/>
    <w:link w:val="209"/>
    <w:autoRedefine/>
    <w:qFormat/>
    <w:uiPriority w:val="0"/>
    <w:pPr>
      <w:spacing w:after="120" w:line="480" w:lineRule="auto"/>
      <w:ind w:left="420" w:leftChars="200"/>
    </w:pPr>
    <w:rPr>
      <w:sz w:val="24"/>
      <w:szCs w:val="24"/>
    </w:rPr>
  </w:style>
  <w:style w:type="paragraph" w:styleId="33">
    <w:name w:val="endnote text"/>
    <w:basedOn w:val="1"/>
    <w:link w:val="216"/>
    <w:autoRedefine/>
    <w:qFormat/>
    <w:uiPriority w:val="0"/>
    <w:pPr>
      <w:widowControl/>
      <w:snapToGrid w:val="0"/>
      <w:jc w:val="left"/>
    </w:pPr>
    <w:rPr>
      <w:kern w:val="0"/>
      <w:sz w:val="20"/>
      <w:szCs w:val="20"/>
    </w:rPr>
  </w:style>
  <w:style w:type="paragraph" w:styleId="34">
    <w:name w:val="Balloon Text"/>
    <w:basedOn w:val="1"/>
    <w:link w:val="213"/>
    <w:autoRedefine/>
    <w:qFormat/>
    <w:uiPriority w:val="0"/>
    <w:rPr>
      <w:sz w:val="18"/>
      <w:szCs w:val="18"/>
    </w:rPr>
  </w:style>
  <w:style w:type="paragraph" w:styleId="35">
    <w:name w:val="footer"/>
    <w:basedOn w:val="1"/>
    <w:link w:val="219"/>
    <w:autoRedefine/>
    <w:qFormat/>
    <w:uiPriority w:val="0"/>
    <w:pPr>
      <w:tabs>
        <w:tab w:val="center" w:pos="4153"/>
        <w:tab w:val="right" w:pos="8306"/>
      </w:tabs>
      <w:snapToGrid w:val="0"/>
      <w:jc w:val="left"/>
    </w:pPr>
    <w:rPr>
      <w:sz w:val="18"/>
      <w:szCs w:val="18"/>
    </w:rPr>
  </w:style>
  <w:style w:type="paragraph" w:styleId="36">
    <w:name w:val="header"/>
    <w:basedOn w:val="1"/>
    <w:link w:val="222"/>
    <w:autoRedefine/>
    <w:qFormat/>
    <w:uiPriority w:val="0"/>
    <w:pPr>
      <w:pBdr>
        <w:bottom w:val="single" w:color="auto" w:sz="6" w:space="1"/>
      </w:pBdr>
      <w:tabs>
        <w:tab w:val="center" w:pos="4153"/>
        <w:tab w:val="right" w:pos="8306"/>
      </w:tabs>
      <w:snapToGrid w:val="0"/>
      <w:jc w:val="center"/>
    </w:pPr>
    <w:rPr>
      <w:sz w:val="18"/>
      <w:szCs w:val="18"/>
    </w:rPr>
  </w:style>
  <w:style w:type="paragraph" w:styleId="37">
    <w:name w:val="toc 1"/>
    <w:basedOn w:val="1"/>
    <w:next w:val="1"/>
    <w:autoRedefine/>
    <w:qFormat/>
    <w:uiPriority w:val="0"/>
    <w:pPr>
      <w:spacing w:before="60" w:line="400" w:lineRule="exact"/>
    </w:pPr>
    <w:rPr>
      <w:rFonts w:eastAsia="黑体"/>
    </w:rPr>
  </w:style>
  <w:style w:type="paragraph" w:styleId="38">
    <w:name w:val="toc 4"/>
    <w:basedOn w:val="28"/>
    <w:next w:val="28"/>
    <w:autoRedefine/>
    <w:qFormat/>
    <w:uiPriority w:val="0"/>
    <w:pPr>
      <w:ind w:left="1260" w:leftChars="600"/>
    </w:pPr>
  </w:style>
  <w:style w:type="paragraph" w:styleId="39">
    <w:name w:val="Subtitle"/>
    <w:basedOn w:val="1"/>
    <w:next w:val="1"/>
    <w:link w:val="215"/>
    <w:autoRedefine/>
    <w:qFormat/>
    <w:uiPriority w:val="0"/>
    <w:pPr>
      <w:spacing w:before="240" w:after="60" w:line="312" w:lineRule="auto"/>
      <w:jc w:val="center"/>
      <w:outlineLvl w:val="1"/>
    </w:pPr>
    <w:rPr>
      <w:rFonts w:ascii="Cambria" w:hAnsi="Cambria"/>
      <w:b/>
      <w:bCs/>
      <w:kern w:val="28"/>
      <w:sz w:val="32"/>
      <w:szCs w:val="32"/>
    </w:rPr>
  </w:style>
  <w:style w:type="paragraph" w:styleId="40">
    <w:name w:val="List"/>
    <w:basedOn w:val="1"/>
    <w:autoRedefine/>
    <w:qFormat/>
    <w:uiPriority w:val="99"/>
    <w:pPr>
      <w:ind w:left="200" w:hanging="200" w:hangingChars="200"/>
    </w:pPr>
  </w:style>
  <w:style w:type="paragraph" w:styleId="41">
    <w:name w:val="footnote text"/>
    <w:basedOn w:val="1"/>
    <w:link w:val="220"/>
    <w:autoRedefine/>
    <w:qFormat/>
    <w:uiPriority w:val="0"/>
    <w:pPr>
      <w:adjustRightInd w:val="0"/>
      <w:spacing w:line="312" w:lineRule="atLeast"/>
      <w:jc w:val="left"/>
      <w:textAlignment w:val="baseline"/>
    </w:pPr>
    <w:rPr>
      <w:kern w:val="0"/>
      <w:sz w:val="18"/>
      <w:szCs w:val="18"/>
    </w:rPr>
  </w:style>
  <w:style w:type="paragraph" w:styleId="42">
    <w:name w:val="toc 6"/>
    <w:basedOn w:val="1"/>
    <w:next w:val="1"/>
    <w:autoRedefine/>
    <w:qFormat/>
    <w:uiPriority w:val="0"/>
    <w:pPr>
      <w:ind w:left="2100" w:leftChars="1000"/>
    </w:pPr>
    <w:rPr>
      <w:rFonts w:ascii="Calibri" w:hAnsi="Calibri" w:cs="Calibri"/>
    </w:rPr>
  </w:style>
  <w:style w:type="paragraph" w:styleId="43">
    <w:name w:val="Body Text Indent 3"/>
    <w:basedOn w:val="1"/>
    <w:link w:val="212"/>
    <w:autoRedefine/>
    <w:qFormat/>
    <w:uiPriority w:val="0"/>
    <w:pPr>
      <w:spacing w:line="360" w:lineRule="auto"/>
      <w:ind w:firstLine="480"/>
    </w:pPr>
    <w:rPr>
      <w:rFonts w:eastAsia="仿宋_GB2312"/>
      <w:sz w:val="24"/>
      <w:szCs w:val="24"/>
    </w:rPr>
  </w:style>
  <w:style w:type="paragraph" w:styleId="44">
    <w:name w:val="toc 2"/>
    <w:basedOn w:val="1"/>
    <w:next w:val="1"/>
    <w:autoRedefine/>
    <w:qFormat/>
    <w:uiPriority w:val="0"/>
    <w:pPr>
      <w:ind w:left="420" w:leftChars="200"/>
    </w:pPr>
    <w:rPr>
      <w:rFonts w:ascii="Calibri" w:hAnsi="Calibri" w:cs="Calibri"/>
    </w:rPr>
  </w:style>
  <w:style w:type="paragraph" w:styleId="45">
    <w:name w:val="toc 9"/>
    <w:basedOn w:val="1"/>
    <w:next w:val="1"/>
    <w:autoRedefine/>
    <w:qFormat/>
    <w:uiPriority w:val="0"/>
    <w:pPr>
      <w:ind w:left="3360" w:leftChars="1600"/>
    </w:pPr>
    <w:rPr>
      <w:rFonts w:ascii="Calibri" w:hAnsi="Calibri" w:cs="Calibri"/>
    </w:rPr>
  </w:style>
  <w:style w:type="paragraph" w:styleId="46">
    <w:name w:val="Body Text 2"/>
    <w:basedOn w:val="1"/>
    <w:link w:val="221"/>
    <w:autoRedefine/>
    <w:qFormat/>
    <w:uiPriority w:val="99"/>
    <w:pPr>
      <w:widowControl/>
      <w:spacing w:afterLines="50" w:line="216" w:lineRule="auto"/>
      <w:jc w:val="center"/>
    </w:pPr>
    <w:rPr>
      <w:rFonts w:ascii="隶书" w:eastAsia="隶书"/>
      <w:kern w:val="0"/>
      <w:sz w:val="84"/>
      <w:szCs w:val="84"/>
    </w:rPr>
  </w:style>
  <w:style w:type="paragraph" w:styleId="47">
    <w:name w:val="HTML Preformatted"/>
    <w:basedOn w:val="1"/>
    <w:link w:val="211"/>
    <w:autoRedefine/>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szCs w:val="24"/>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49">
    <w:name w:val="Title"/>
    <w:basedOn w:val="1"/>
    <w:next w:val="1"/>
    <w:link w:val="208"/>
    <w:autoRedefine/>
    <w:qFormat/>
    <w:uiPriority w:val="99"/>
    <w:pPr>
      <w:spacing w:before="240" w:after="60"/>
      <w:jc w:val="center"/>
      <w:outlineLvl w:val="0"/>
    </w:pPr>
    <w:rPr>
      <w:rFonts w:ascii="Cambria" w:hAnsi="Cambria"/>
      <w:b/>
      <w:bCs/>
      <w:sz w:val="32"/>
      <w:szCs w:val="32"/>
    </w:rPr>
  </w:style>
  <w:style w:type="paragraph" w:styleId="50">
    <w:name w:val="annotation subject"/>
    <w:basedOn w:val="19"/>
    <w:next w:val="19"/>
    <w:link w:val="205"/>
    <w:autoRedefine/>
    <w:qFormat/>
    <w:uiPriority w:val="0"/>
    <w:rPr>
      <w:b/>
      <w:bCs/>
    </w:rPr>
  </w:style>
  <w:style w:type="table" w:styleId="52">
    <w:name w:val="Table Grid"/>
    <w:basedOn w:val="51"/>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53">
    <w:name w:val="Table Theme"/>
    <w:basedOn w:val="51"/>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54">
    <w:name w:val="Table Colorful 1"/>
    <w:basedOn w:val="51"/>
    <w:autoRedefine/>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styleId="56">
    <w:name w:val="Strong"/>
    <w:basedOn w:val="55"/>
    <w:autoRedefine/>
    <w:qFormat/>
    <w:uiPriority w:val="0"/>
    <w:rPr>
      <w:b/>
      <w:bCs/>
    </w:rPr>
  </w:style>
  <w:style w:type="character" w:styleId="57">
    <w:name w:val="endnote reference"/>
    <w:basedOn w:val="55"/>
    <w:autoRedefine/>
    <w:qFormat/>
    <w:uiPriority w:val="0"/>
    <w:rPr>
      <w:vertAlign w:val="superscript"/>
    </w:rPr>
  </w:style>
  <w:style w:type="character" w:styleId="58">
    <w:name w:val="page number"/>
    <w:basedOn w:val="55"/>
    <w:autoRedefine/>
    <w:qFormat/>
    <w:uiPriority w:val="0"/>
  </w:style>
  <w:style w:type="character" w:styleId="59">
    <w:name w:val="FollowedHyperlink"/>
    <w:basedOn w:val="55"/>
    <w:autoRedefine/>
    <w:qFormat/>
    <w:uiPriority w:val="0"/>
    <w:rPr>
      <w:color w:val="auto"/>
      <w:u w:val="none"/>
    </w:rPr>
  </w:style>
  <w:style w:type="character" w:styleId="60">
    <w:name w:val="Emphasis"/>
    <w:basedOn w:val="55"/>
    <w:autoRedefine/>
    <w:qFormat/>
    <w:uiPriority w:val="0"/>
    <w:rPr>
      <w:i/>
      <w:iCs/>
    </w:rPr>
  </w:style>
  <w:style w:type="character" w:styleId="61">
    <w:name w:val="HTML Definition"/>
    <w:basedOn w:val="55"/>
    <w:autoRedefine/>
    <w:qFormat/>
    <w:uiPriority w:val="99"/>
  </w:style>
  <w:style w:type="character" w:styleId="62">
    <w:name w:val="HTML Typewriter"/>
    <w:basedOn w:val="55"/>
    <w:autoRedefine/>
    <w:qFormat/>
    <w:uiPriority w:val="99"/>
    <w:rPr>
      <w:rFonts w:ascii="monospace" w:hAnsi="monospace" w:eastAsia="Times New Roman" w:cs="monospace"/>
      <w:sz w:val="20"/>
      <w:szCs w:val="20"/>
    </w:rPr>
  </w:style>
  <w:style w:type="character" w:styleId="63">
    <w:name w:val="HTML Acronym"/>
    <w:basedOn w:val="55"/>
    <w:autoRedefine/>
    <w:qFormat/>
    <w:uiPriority w:val="99"/>
  </w:style>
  <w:style w:type="character" w:styleId="64">
    <w:name w:val="HTML Variable"/>
    <w:basedOn w:val="55"/>
    <w:autoRedefine/>
    <w:qFormat/>
    <w:uiPriority w:val="99"/>
  </w:style>
  <w:style w:type="character" w:styleId="65">
    <w:name w:val="Hyperlink"/>
    <w:basedOn w:val="55"/>
    <w:autoRedefine/>
    <w:qFormat/>
    <w:uiPriority w:val="0"/>
    <w:rPr>
      <w:color w:val="000000"/>
      <w:u w:val="none"/>
    </w:rPr>
  </w:style>
  <w:style w:type="character" w:styleId="66">
    <w:name w:val="HTML Code"/>
    <w:basedOn w:val="55"/>
    <w:autoRedefine/>
    <w:qFormat/>
    <w:uiPriority w:val="99"/>
    <w:rPr>
      <w:rFonts w:ascii="monospace" w:hAnsi="monospace" w:eastAsia="Times New Roman" w:cs="monospace"/>
      <w:sz w:val="20"/>
      <w:szCs w:val="20"/>
    </w:rPr>
  </w:style>
  <w:style w:type="character" w:styleId="67">
    <w:name w:val="annotation reference"/>
    <w:basedOn w:val="55"/>
    <w:autoRedefine/>
    <w:qFormat/>
    <w:uiPriority w:val="0"/>
    <w:rPr>
      <w:sz w:val="21"/>
      <w:szCs w:val="21"/>
    </w:rPr>
  </w:style>
  <w:style w:type="character" w:styleId="68">
    <w:name w:val="HTML Cite"/>
    <w:basedOn w:val="55"/>
    <w:autoRedefine/>
    <w:qFormat/>
    <w:uiPriority w:val="99"/>
    <w:rPr>
      <w:color w:val="008000"/>
    </w:rPr>
  </w:style>
  <w:style w:type="character" w:styleId="69">
    <w:name w:val="footnote reference"/>
    <w:basedOn w:val="55"/>
    <w:autoRedefine/>
    <w:qFormat/>
    <w:uiPriority w:val="0"/>
    <w:rPr>
      <w:vertAlign w:val="superscript"/>
    </w:rPr>
  </w:style>
  <w:style w:type="character" w:styleId="70">
    <w:name w:val="HTML Keyboard"/>
    <w:basedOn w:val="55"/>
    <w:autoRedefine/>
    <w:qFormat/>
    <w:uiPriority w:val="99"/>
    <w:rPr>
      <w:rFonts w:ascii="monospace" w:hAnsi="monospace" w:eastAsia="Times New Roman" w:cs="monospace"/>
      <w:sz w:val="20"/>
      <w:szCs w:val="20"/>
    </w:rPr>
  </w:style>
  <w:style w:type="character" w:styleId="71">
    <w:name w:val="HTML Sample"/>
    <w:basedOn w:val="55"/>
    <w:autoRedefine/>
    <w:qFormat/>
    <w:uiPriority w:val="99"/>
    <w:rPr>
      <w:rFonts w:ascii="monospace" w:hAnsi="monospace" w:eastAsia="Times New Roman" w:cs="monospace"/>
    </w:rPr>
  </w:style>
  <w:style w:type="character" w:customStyle="1" w:styleId="72">
    <w:name w:val="Heading 1 Char"/>
    <w:basedOn w:val="55"/>
    <w:autoRedefine/>
    <w:qFormat/>
    <w:uiPriority w:val="0"/>
    <w:rPr>
      <w:rFonts w:eastAsia="宋体"/>
      <w:b/>
      <w:bCs/>
      <w:kern w:val="44"/>
      <w:sz w:val="44"/>
      <w:szCs w:val="44"/>
      <w:lang w:val="en-US" w:eastAsia="zh-CN"/>
    </w:rPr>
  </w:style>
  <w:style w:type="character" w:customStyle="1" w:styleId="73">
    <w:name w:val="Heading 2 Char"/>
    <w:basedOn w:val="55"/>
    <w:autoRedefine/>
    <w:qFormat/>
    <w:uiPriority w:val="0"/>
    <w:rPr>
      <w:rFonts w:ascii="Arial" w:hAnsi="Arial" w:eastAsia="黑体" w:cs="Arial"/>
      <w:b/>
      <w:bCs/>
      <w:kern w:val="2"/>
      <w:sz w:val="32"/>
      <w:szCs w:val="32"/>
      <w:lang w:val="en-US" w:eastAsia="zh-CN"/>
    </w:rPr>
  </w:style>
  <w:style w:type="character" w:customStyle="1" w:styleId="74">
    <w:name w:val="Heading 3 Char"/>
    <w:basedOn w:val="55"/>
    <w:autoRedefine/>
    <w:qFormat/>
    <w:uiPriority w:val="0"/>
    <w:rPr>
      <w:b/>
      <w:bCs/>
      <w:kern w:val="2"/>
      <w:sz w:val="32"/>
      <w:szCs w:val="32"/>
    </w:rPr>
  </w:style>
  <w:style w:type="character" w:customStyle="1" w:styleId="75">
    <w:name w:val="Heading 4 Char"/>
    <w:basedOn w:val="55"/>
    <w:autoRedefine/>
    <w:qFormat/>
    <w:uiPriority w:val="0"/>
    <w:rPr>
      <w:rFonts w:ascii="Arial" w:hAnsi="Arial" w:eastAsia="宋体" w:cs="Arial"/>
      <w:b/>
      <w:bCs/>
      <w:kern w:val="2"/>
      <w:sz w:val="28"/>
      <w:szCs w:val="28"/>
      <w:lang w:val="en-US" w:eastAsia="zh-CN"/>
    </w:rPr>
  </w:style>
  <w:style w:type="character" w:customStyle="1" w:styleId="76">
    <w:name w:val="Heading 5 Char"/>
    <w:basedOn w:val="55"/>
    <w:autoRedefine/>
    <w:qFormat/>
    <w:uiPriority w:val="0"/>
    <w:rPr>
      <w:rFonts w:eastAsia="宋体"/>
      <w:b/>
      <w:bCs/>
      <w:kern w:val="2"/>
      <w:sz w:val="28"/>
      <w:szCs w:val="28"/>
      <w:lang w:val="en-US" w:eastAsia="zh-CN"/>
    </w:rPr>
  </w:style>
  <w:style w:type="character" w:customStyle="1" w:styleId="77">
    <w:name w:val="标题 6 Char"/>
    <w:basedOn w:val="55"/>
    <w:link w:val="7"/>
    <w:autoRedefine/>
    <w:qFormat/>
    <w:locked/>
    <w:uiPriority w:val="0"/>
    <w:rPr>
      <w:rFonts w:ascii="Cambria" w:hAnsi="Cambria" w:cs="Cambria"/>
      <w:b/>
      <w:bCs/>
      <w:kern w:val="2"/>
      <w:sz w:val="24"/>
      <w:szCs w:val="24"/>
    </w:rPr>
  </w:style>
  <w:style w:type="character" w:customStyle="1" w:styleId="78">
    <w:name w:val="标题 7 Char"/>
    <w:basedOn w:val="55"/>
    <w:link w:val="8"/>
    <w:autoRedefine/>
    <w:qFormat/>
    <w:locked/>
    <w:uiPriority w:val="0"/>
    <w:rPr>
      <w:rFonts w:ascii="Calibri" w:hAnsi="Calibri" w:cs="Calibri"/>
      <w:b/>
      <w:bCs/>
      <w:kern w:val="2"/>
      <w:sz w:val="24"/>
      <w:szCs w:val="24"/>
    </w:rPr>
  </w:style>
  <w:style w:type="character" w:customStyle="1" w:styleId="79">
    <w:name w:val="标题 8 Char"/>
    <w:basedOn w:val="55"/>
    <w:link w:val="9"/>
    <w:autoRedefine/>
    <w:qFormat/>
    <w:locked/>
    <w:uiPriority w:val="0"/>
    <w:rPr>
      <w:rFonts w:ascii="Cambria" w:hAnsi="Cambria" w:cs="Cambria"/>
      <w:kern w:val="2"/>
      <w:sz w:val="24"/>
      <w:szCs w:val="24"/>
    </w:rPr>
  </w:style>
  <w:style w:type="character" w:customStyle="1" w:styleId="80">
    <w:name w:val="标题 9 Char"/>
    <w:basedOn w:val="55"/>
    <w:link w:val="10"/>
    <w:autoRedefine/>
    <w:qFormat/>
    <w:locked/>
    <w:uiPriority w:val="0"/>
    <w:rPr>
      <w:rFonts w:ascii="Cambria" w:hAnsi="Cambria" w:cs="Cambria"/>
      <w:kern w:val="2"/>
      <w:sz w:val="21"/>
      <w:szCs w:val="21"/>
    </w:rPr>
  </w:style>
  <w:style w:type="character" w:customStyle="1" w:styleId="81">
    <w:name w:val="标题 3 Char1"/>
    <w:autoRedefine/>
    <w:qFormat/>
    <w:uiPriority w:val="0"/>
    <w:rPr>
      <w:rFonts w:ascii="Calibri" w:hAnsi="Calibri" w:eastAsia="宋体" w:cs="Calibri"/>
      <w:b/>
      <w:bCs/>
      <w:kern w:val="0"/>
      <w:sz w:val="20"/>
      <w:szCs w:val="20"/>
    </w:rPr>
  </w:style>
  <w:style w:type="character" w:customStyle="1" w:styleId="82">
    <w:name w:val="正文文本缩进 Char"/>
    <w:autoRedefine/>
    <w:qFormat/>
    <w:locked/>
    <w:uiPriority w:val="0"/>
    <w:rPr>
      <w:rFonts w:ascii="宋体" w:eastAsia="宋体" w:cs="宋体"/>
      <w:kern w:val="2"/>
      <w:sz w:val="21"/>
      <w:szCs w:val="21"/>
    </w:rPr>
  </w:style>
  <w:style w:type="character" w:customStyle="1" w:styleId="83">
    <w:name w:val="Char Char6"/>
    <w:autoRedefine/>
    <w:qFormat/>
    <w:uiPriority w:val="0"/>
    <w:rPr>
      <w:rFonts w:eastAsia="宋体"/>
      <w:b/>
      <w:bCs/>
      <w:kern w:val="44"/>
      <w:sz w:val="44"/>
      <w:szCs w:val="44"/>
      <w:lang w:val="en-US" w:eastAsia="zh-CN"/>
    </w:rPr>
  </w:style>
  <w:style w:type="character" w:customStyle="1" w:styleId="84">
    <w:name w:val="引用 Char2"/>
    <w:autoRedefine/>
    <w:qFormat/>
    <w:uiPriority w:val="0"/>
    <w:rPr>
      <w:i/>
      <w:iCs/>
      <w:color w:val="000000"/>
      <w:kern w:val="2"/>
      <w:sz w:val="24"/>
      <w:szCs w:val="24"/>
    </w:rPr>
  </w:style>
  <w:style w:type="character" w:customStyle="1" w:styleId="85">
    <w:name w:val="Title Char"/>
    <w:autoRedefine/>
    <w:qFormat/>
    <w:uiPriority w:val="0"/>
    <w:rPr>
      <w:rFonts w:ascii="Cambria" w:hAnsi="Cambria" w:cs="Cambria"/>
      <w:b/>
      <w:bCs/>
      <w:sz w:val="32"/>
      <w:szCs w:val="32"/>
    </w:rPr>
  </w:style>
  <w:style w:type="character" w:customStyle="1" w:styleId="86">
    <w:name w:val="批注文字 Char3"/>
    <w:autoRedefine/>
    <w:qFormat/>
    <w:uiPriority w:val="99"/>
    <w:rPr>
      <w:kern w:val="2"/>
      <w:sz w:val="24"/>
      <w:szCs w:val="24"/>
    </w:rPr>
  </w:style>
  <w:style w:type="character" w:customStyle="1" w:styleId="87">
    <w:name w:val="HTML 预设格式 字符"/>
    <w:autoRedefine/>
    <w:qFormat/>
    <w:uiPriority w:val="99"/>
    <w:rPr>
      <w:rFonts w:ascii="Courier New" w:hAnsi="Courier New" w:cs="Courier New"/>
      <w:kern w:val="2"/>
    </w:rPr>
  </w:style>
  <w:style w:type="character" w:customStyle="1" w:styleId="88">
    <w:name w:val="Char Char19"/>
    <w:autoRedefine/>
    <w:qFormat/>
    <w:uiPriority w:val="0"/>
    <w:rPr>
      <w:rFonts w:ascii="Arial" w:hAnsi="Arial" w:eastAsia="宋体" w:cs="Arial"/>
      <w:b/>
      <w:bCs/>
      <w:sz w:val="28"/>
      <w:szCs w:val="28"/>
    </w:rPr>
  </w:style>
  <w:style w:type="character" w:customStyle="1" w:styleId="89">
    <w:name w:val="标题 Char2"/>
    <w:autoRedefine/>
    <w:qFormat/>
    <w:uiPriority w:val="0"/>
    <w:rPr>
      <w:rFonts w:ascii="Cambria" w:hAnsi="Cambria" w:eastAsia="宋体" w:cs="Cambria"/>
      <w:b/>
      <w:bCs/>
      <w:sz w:val="32"/>
      <w:szCs w:val="32"/>
    </w:rPr>
  </w:style>
  <w:style w:type="character" w:customStyle="1" w:styleId="90">
    <w:name w:val="Char Char24"/>
    <w:autoRedefine/>
    <w:qFormat/>
    <w:uiPriority w:val="0"/>
    <w:rPr>
      <w:rFonts w:eastAsia="宋体"/>
      <w:b/>
      <w:bCs/>
      <w:kern w:val="44"/>
      <w:sz w:val="44"/>
      <w:szCs w:val="44"/>
      <w:lang w:val="en-US" w:eastAsia="zh-CN"/>
    </w:rPr>
  </w:style>
  <w:style w:type="character" w:customStyle="1" w:styleId="91">
    <w:name w:val="fontstyle01"/>
    <w:autoRedefine/>
    <w:qFormat/>
    <w:uiPriority w:val="99"/>
    <w:rPr>
      <w:rFonts w:ascii="宋体" w:hAnsi="宋体" w:eastAsia="宋体" w:cs="宋体"/>
      <w:color w:val="000000"/>
      <w:sz w:val="24"/>
      <w:szCs w:val="24"/>
    </w:rPr>
  </w:style>
  <w:style w:type="character" w:customStyle="1" w:styleId="92">
    <w:name w:val="Balloon Text Char"/>
    <w:autoRedefine/>
    <w:qFormat/>
    <w:uiPriority w:val="0"/>
    <w:rPr>
      <w:sz w:val="18"/>
      <w:szCs w:val="18"/>
    </w:rPr>
  </w:style>
  <w:style w:type="character" w:customStyle="1" w:styleId="93">
    <w:name w:val="批注框文本 Char2"/>
    <w:autoRedefine/>
    <w:qFormat/>
    <w:uiPriority w:val="0"/>
    <w:rPr>
      <w:kern w:val="2"/>
      <w:sz w:val="18"/>
      <w:szCs w:val="18"/>
    </w:rPr>
  </w:style>
  <w:style w:type="character" w:customStyle="1" w:styleId="94">
    <w:name w:val="3zw1"/>
    <w:autoRedefine/>
    <w:qFormat/>
    <w:uiPriority w:val="99"/>
  </w:style>
  <w:style w:type="character" w:customStyle="1" w:styleId="95">
    <w:name w:val="文档结构图 Char1"/>
    <w:autoRedefine/>
    <w:qFormat/>
    <w:uiPriority w:val="0"/>
    <w:rPr>
      <w:rFonts w:ascii="宋体" w:hAnsi="Times New Roman" w:eastAsia="宋体" w:cs="宋体"/>
      <w:sz w:val="18"/>
      <w:szCs w:val="18"/>
    </w:rPr>
  </w:style>
  <w:style w:type="character" w:customStyle="1" w:styleId="96">
    <w:name w:val="标题4 Char Char"/>
    <w:link w:val="97"/>
    <w:autoRedefine/>
    <w:qFormat/>
    <w:locked/>
    <w:uiPriority w:val="0"/>
    <w:rPr>
      <w:rFonts w:ascii="Arial" w:hAnsi="Arial" w:cs="Arial"/>
      <w:b/>
      <w:bCs/>
      <w:sz w:val="32"/>
      <w:szCs w:val="32"/>
    </w:rPr>
  </w:style>
  <w:style w:type="paragraph" w:customStyle="1" w:styleId="97">
    <w:name w:val="标题4"/>
    <w:basedOn w:val="3"/>
    <w:next w:val="25"/>
    <w:link w:val="96"/>
    <w:autoRedefine/>
    <w:qFormat/>
    <w:uiPriority w:val="0"/>
    <w:rPr>
      <w:rFonts w:eastAsia="宋体"/>
      <w:kern w:val="0"/>
    </w:rPr>
  </w:style>
  <w:style w:type="character" w:customStyle="1" w:styleId="98">
    <w:name w:val="正文文本 2 Char"/>
    <w:autoRedefine/>
    <w:qFormat/>
    <w:locked/>
    <w:uiPriority w:val="99"/>
    <w:rPr>
      <w:rFonts w:ascii="隶书" w:eastAsia="隶书" w:cs="隶书"/>
      <w:sz w:val="84"/>
      <w:szCs w:val="84"/>
    </w:rPr>
  </w:style>
  <w:style w:type="character" w:customStyle="1" w:styleId="99">
    <w:name w:val="Comment Text Char1"/>
    <w:autoRedefine/>
    <w:qFormat/>
    <w:uiPriority w:val="0"/>
    <w:rPr>
      <w:sz w:val="24"/>
      <w:szCs w:val="24"/>
    </w:rPr>
  </w:style>
  <w:style w:type="character" w:customStyle="1" w:styleId="100">
    <w:name w:val="标题 Char"/>
    <w:autoRedefine/>
    <w:qFormat/>
    <w:locked/>
    <w:uiPriority w:val="99"/>
    <w:rPr>
      <w:rFonts w:ascii="Cambria" w:hAnsi="Cambria" w:cs="Cambria"/>
      <w:b/>
      <w:bCs/>
      <w:kern w:val="2"/>
      <w:sz w:val="32"/>
      <w:szCs w:val="32"/>
    </w:rPr>
  </w:style>
  <w:style w:type="character" w:customStyle="1" w:styleId="101">
    <w:name w:val="纯文本 Char1"/>
    <w:autoRedefine/>
    <w:qFormat/>
    <w:uiPriority w:val="0"/>
    <w:rPr>
      <w:rFonts w:ascii="宋体" w:hAnsi="Courier New" w:eastAsia="宋体" w:cs="宋体"/>
      <w:sz w:val="21"/>
      <w:szCs w:val="21"/>
    </w:rPr>
  </w:style>
  <w:style w:type="character" w:customStyle="1" w:styleId="102">
    <w:name w:val="批注文字 Char"/>
    <w:autoRedefine/>
    <w:qFormat/>
    <w:uiPriority w:val="0"/>
    <w:rPr>
      <w:kern w:val="2"/>
      <w:sz w:val="24"/>
      <w:szCs w:val="24"/>
    </w:rPr>
  </w:style>
  <w:style w:type="character" w:customStyle="1" w:styleId="103">
    <w:name w:val="副标题 Char1"/>
    <w:autoRedefine/>
    <w:qFormat/>
    <w:uiPriority w:val="0"/>
    <w:rPr>
      <w:rFonts w:ascii="Cambria" w:hAnsi="Cambria" w:cs="Cambria"/>
      <w:b/>
      <w:bCs/>
      <w:kern w:val="28"/>
      <w:sz w:val="32"/>
      <w:szCs w:val="32"/>
    </w:rPr>
  </w:style>
  <w:style w:type="character" w:customStyle="1" w:styleId="104">
    <w:name w:val="文档结构图 Char2"/>
    <w:autoRedefine/>
    <w:qFormat/>
    <w:uiPriority w:val="0"/>
    <w:rPr>
      <w:rFonts w:ascii="宋体" w:cs="宋体"/>
      <w:kern w:val="2"/>
      <w:sz w:val="18"/>
      <w:szCs w:val="18"/>
    </w:rPr>
  </w:style>
  <w:style w:type="character" w:customStyle="1" w:styleId="105">
    <w:name w:val="批注框文本 Char"/>
    <w:autoRedefine/>
    <w:qFormat/>
    <w:locked/>
    <w:uiPriority w:val="0"/>
    <w:rPr>
      <w:kern w:val="2"/>
      <w:sz w:val="18"/>
      <w:szCs w:val="18"/>
    </w:rPr>
  </w:style>
  <w:style w:type="character" w:customStyle="1" w:styleId="106">
    <w:name w:val="页脚 Char1"/>
    <w:autoRedefine/>
    <w:qFormat/>
    <w:uiPriority w:val="0"/>
    <w:rPr>
      <w:rFonts w:ascii="Times New Roman" w:hAnsi="Times New Roman" w:eastAsia="宋体" w:cs="Times New Roman"/>
      <w:sz w:val="18"/>
      <w:szCs w:val="18"/>
    </w:rPr>
  </w:style>
  <w:style w:type="character" w:customStyle="1" w:styleId="107">
    <w:name w:val="Comment Subject Char"/>
    <w:autoRedefine/>
    <w:qFormat/>
    <w:uiPriority w:val="0"/>
    <w:rPr>
      <w:b/>
      <w:bCs/>
      <w:sz w:val="24"/>
      <w:szCs w:val="24"/>
    </w:rPr>
  </w:style>
  <w:style w:type="character" w:customStyle="1" w:styleId="108">
    <w:name w:val="页眉 Char"/>
    <w:autoRedefine/>
    <w:qFormat/>
    <w:locked/>
    <w:uiPriority w:val="0"/>
    <w:rPr>
      <w:kern w:val="2"/>
      <w:sz w:val="18"/>
      <w:szCs w:val="18"/>
    </w:rPr>
  </w:style>
  <w:style w:type="character" w:customStyle="1" w:styleId="109">
    <w:name w:val="表格样式 Char"/>
    <w:link w:val="110"/>
    <w:autoRedefine/>
    <w:qFormat/>
    <w:locked/>
    <w:uiPriority w:val="99"/>
    <w:rPr>
      <w:sz w:val="21"/>
      <w:szCs w:val="21"/>
    </w:rPr>
  </w:style>
  <w:style w:type="paragraph" w:customStyle="1" w:styleId="110">
    <w:name w:val="表格样式"/>
    <w:basedOn w:val="1"/>
    <w:link w:val="109"/>
    <w:autoRedefine/>
    <w:qFormat/>
    <w:uiPriority w:val="99"/>
    <w:pPr>
      <w:widowControl/>
      <w:jc w:val="center"/>
    </w:pPr>
    <w:rPr>
      <w:kern w:val="0"/>
    </w:rPr>
  </w:style>
  <w:style w:type="character" w:customStyle="1" w:styleId="111">
    <w:name w:val="尾注文本 字符"/>
    <w:autoRedefine/>
    <w:qFormat/>
    <w:uiPriority w:val="99"/>
    <w:rPr>
      <w:kern w:val="2"/>
      <w:sz w:val="24"/>
      <w:szCs w:val="24"/>
    </w:rPr>
  </w:style>
  <w:style w:type="character" w:customStyle="1" w:styleId="112">
    <w:name w:val="明显引用 Char1"/>
    <w:link w:val="113"/>
    <w:autoRedefine/>
    <w:qFormat/>
    <w:locked/>
    <w:uiPriority w:val="30"/>
    <w:rPr>
      <w:rFonts w:ascii="Times New Roman" w:hAnsi="Times New Roman" w:eastAsia="宋体" w:cs="Times New Roman"/>
      <w:b/>
      <w:bCs/>
      <w:i/>
      <w:iCs/>
      <w:color w:val="4F81BD"/>
      <w:sz w:val="24"/>
      <w:szCs w:val="24"/>
    </w:rPr>
  </w:style>
  <w:style w:type="paragraph" w:customStyle="1" w:styleId="113">
    <w:name w:val="明显引用1"/>
    <w:basedOn w:val="1"/>
    <w:next w:val="1"/>
    <w:link w:val="112"/>
    <w:autoRedefine/>
    <w:qFormat/>
    <w:uiPriority w:val="30"/>
    <w:pPr>
      <w:pBdr>
        <w:bottom w:val="single" w:color="4F81BD" w:sz="4" w:space="4"/>
      </w:pBdr>
      <w:spacing w:before="200" w:after="280"/>
      <w:ind w:left="936" w:right="936"/>
    </w:pPr>
    <w:rPr>
      <w:b/>
      <w:bCs/>
      <w:i/>
      <w:iCs/>
      <w:color w:val="4F81BD"/>
      <w:kern w:val="0"/>
      <w:sz w:val="24"/>
      <w:szCs w:val="24"/>
    </w:rPr>
  </w:style>
  <w:style w:type="character" w:customStyle="1" w:styleId="114">
    <w:name w:val="批注文字 Char2"/>
    <w:autoRedefine/>
    <w:qFormat/>
    <w:locked/>
    <w:uiPriority w:val="0"/>
    <w:rPr>
      <w:rFonts w:eastAsia="宋体"/>
      <w:kern w:val="2"/>
      <w:sz w:val="24"/>
      <w:szCs w:val="24"/>
      <w:lang w:val="en-US" w:eastAsia="zh-CN"/>
    </w:rPr>
  </w:style>
  <w:style w:type="character" w:customStyle="1" w:styleId="115">
    <w:name w:val="超链接_0"/>
    <w:autoRedefine/>
    <w:qFormat/>
    <w:uiPriority w:val="99"/>
    <w:rPr>
      <w:rFonts w:ascii="Calibri" w:hAnsi="Calibri" w:cs="Calibri"/>
      <w:color w:val="0000FF"/>
      <w:u w:val="single"/>
    </w:rPr>
  </w:style>
  <w:style w:type="character" w:customStyle="1" w:styleId="116">
    <w:name w:val="脚注文本 Char1"/>
    <w:autoRedefine/>
    <w:qFormat/>
    <w:uiPriority w:val="0"/>
    <w:rPr>
      <w:kern w:val="2"/>
      <w:sz w:val="18"/>
      <w:szCs w:val="18"/>
    </w:rPr>
  </w:style>
  <w:style w:type="character" w:customStyle="1" w:styleId="117">
    <w:name w:val="apple-converted-space"/>
    <w:autoRedefine/>
    <w:qFormat/>
    <w:uiPriority w:val="0"/>
  </w:style>
  <w:style w:type="character" w:customStyle="1" w:styleId="118">
    <w:name w:val="正文文本缩进 3 Char"/>
    <w:autoRedefine/>
    <w:qFormat/>
    <w:locked/>
    <w:uiPriority w:val="0"/>
    <w:rPr>
      <w:rFonts w:eastAsia="仿宋_GB2312"/>
      <w:kern w:val="2"/>
      <w:sz w:val="24"/>
      <w:szCs w:val="24"/>
    </w:rPr>
  </w:style>
  <w:style w:type="character" w:customStyle="1" w:styleId="119">
    <w:name w:val="font41"/>
    <w:autoRedefine/>
    <w:qFormat/>
    <w:uiPriority w:val="99"/>
    <w:rPr>
      <w:rFonts w:ascii="宋体" w:hAnsi="宋体" w:eastAsia="宋体" w:cs="宋体"/>
      <w:color w:val="000000"/>
      <w:sz w:val="20"/>
      <w:szCs w:val="20"/>
      <w:u w:val="none"/>
    </w:rPr>
  </w:style>
  <w:style w:type="character" w:customStyle="1" w:styleId="120">
    <w:name w:val="书籍标题1"/>
    <w:basedOn w:val="55"/>
    <w:autoRedefine/>
    <w:qFormat/>
    <w:uiPriority w:val="0"/>
    <w:rPr>
      <w:b/>
      <w:bCs/>
      <w:smallCaps/>
      <w:spacing w:val="5"/>
    </w:rPr>
  </w:style>
  <w:style w:type="character" w:customStyle="1" w:styleId="121">
    <w:name w:val="正文文本缩进 2 Char"/>
    <w:autoRedefine/>
    <w:qFormat/>
    <w:locked/>
    <w:uiPriority w:val="0"/>
    <w:rPr>
      <w:kern w:val="2"/>
      <w:sz w:val="24"/>
      <w:szCs w:val="24"/>
    </w:rPr>
  </w:style>
  <w:style w:type="character" w:customStyle="1" w:styleId="122">
    <w:name w:val="列出段落 Char"/>
    <w:link w:val="123"/>
    <w:autoRedefine/>
    <w:qFormat/>
    <w:locked/>
    <w:uiPriority w:val="99"/>
    <w:rPr>
      <w:rFonts w:ascii="Calibri" w:hAnsi="Calibri" w:cs="Calibri"/>
      <w:kern w:val="2"/>
      <w:sz w:val="22"/>
      <w:szCs w:val="22"/>
    </w:rPr>
  </w:style>
  <w:style w:type="paragraph" w:customStyle="1" w:styleId="123">
    <w:name w:val="列出段落1"/>
    <w:basedOn w:val="1"/>
    <w:link w:val="122"/>
    <w:autoRedefine/>
    <w:qFormat/>
    <w:uiPriority w:val="0"/>
    <w:pPr>
      <w:ind w:firstLine="420" w:firstLineChars="200"/>
    </w:pPr>
    <w:rPr>
      <w:rFonts w:ascii="Calibri" w:hAnsi="Calibri"/>
      <w:sz w:val="22"/>
      <w:szCs w:val="22"/>
    </w:rPr>
  </w:style>
  <w:style w:type="character" w:customStyle="1" w:styleId="124">
    <w:name w:val="日期 Char1"/>
    <w:autoRedefine/>
    <w:qFormat/>
    <w:uiPriority w:val="0"/>
    <w:rPr>
      <w:rFonts w:ascii="Times New Roman" w:hAnsi="Times New Roman" w:eastAsia="宋体" w:cs="Times New Roman"/>
      <w:sz w:val="24"/>
      <w:szCs w:val="24"/>
    </w:rPr>
  </w:style>
  <w:style w:type="character" w:customStyle="1" w:styleId="125">
    <w:name w:val="标题 Char1"/>
    <w:autoRedefine/>
    <w:qFormat/>
    <w:uiPriority w:val="0"/>
    <w:rPr>
      <w:rFonts w:ascii="Cambria" w:hAnsi="Cambria" w:eastAsia="宋体" w:cs="Cambria"/>
      <w:b/>
      <w:bCs/>
      <w:sz w:val="32"/>
      <w:szCs w:val="32"/>
    </w:rPr>
  </w:style>
  <w:style w:type="character" w:customStyle="1" w:styleId="126">
    <w:name w:val="批注主题 Char2"/>
    <w:autoRedefine/>
    <w:qFormat/>
    <w:uiPriority w:val="0"/>
    <w:rPr>
      <w:b/>
      <w:bCs/>
      <w:kern w:val="2"/>
      <w:sz w:val="24"/>
      <w:szCs w:val="24"/>
    </w:rPr>
  </w:style>
  <w:style w:type="character" w:customStyle="1" w:styleId="127">
    <w:name w:val="明显引用 Char"/>
    <w:autoRedefine/>
    <w:qFormat/>
    <w:locked/>
    <w:uiPriority w:val="0"/>
    <w:rPr>
      <w:b/>
      <w:bCs/>
      <w:i/>
      <w:iCs/>
      <w:color w:val="4F81BD"/>
    </w:rPr>
  </w:style>
  <w:style w:type="paragraph" w:styleId="128">
    <w:name w:val="Intense Quote"/>
    <w:basedOn w:val="1"/>
    <w:next w:val="1"/>
    <w:link w:val="243"/>
    <w:autoRedefine/>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29">
    <w:name w:val="标题5 Char Char"/>
    <w:link w:val="130"/>
    <w:autoRedefine/>
    <w:qFormat/>
    <w:locked/>
    <w:uiPriority w:val="0"/>
    <w:rPr>
      <w:rFonts w:ascii="Arial" w:hAnsi="Arial" w:cs="Arial"/>
      <w:b/>
      <w:bCs/>
      <w:sz w:val="32"/>
      <w:szCs w:val="32"/>
    </w:rPr>
  </w:style>
  <w:style w:type="paragraph" w:customStyle="1" w:styleId="130">
    <w:name w:val="标题5"/>
    <w:basedOn w:val="4"/>
    <w:link w:val="129"/>
    <w:autoRedefine/>
    <w:qFormat/>
    <w:uiPriority w:val="0"/>
    <w:pPr>
      <w:spacing w:before="260" w:after="260" w:line="413" w:lineRule="auto"/>
    </w:pPr>
    <w:rPr>
      <w:rFonts w:ascii="Arial" w:hAnsi="Arial" w:eastAsia="宋体"/>
      <w:kern w:val="0"/>
    </w:rPr>
  </w:style>
  <w:style w:type="character" w:customStyle="1" w:styleId="131">
    <w:name w:val="标题 1 Char"/>
    <w:link w:val="2"/>
    <w:autoRedefine/>
    <w:qFormat/>
    <w:locked/>
    <w:uiPriority w:val="0"/>
    <w:rPr>
      <w:rFonts w:eastAsia="黑体"/>
      <w:b/>
      <w:bCs/>
      <w:kern w:val="44"/>
      <w:sz w:val="44"/>
      <w:szCs w:val="44"/>
    </w:rPr>
  </w:style>
  <w:style w:type="character" w:customStyle="1" w:styleId="132">
    <w:name w:val="明显引用 Char2"/>
    <w:autoRedefine/>
    <w:qFormat/>
    <w:uiPriority w:val="0"/>
    <w:rPr>
      <w:b/>
      <w:bCs/>
      <w:i/>
      <w:iCs/>
      <w:color w:val="4F81BD"/>
      <w:kern w:val="2"/>
      <w:sz w:val="24"/>
      <w:szCs w:val="24"/>
    </w:rPr>
  </w:style>
  <w:style w:type="character" w:customStyle="1" w:styleId="133">
    <w:name w:val="Para head"/>
    <w:autoRedefine/>
    <w:qFormat/>
    <w:uiPriority w:val="0"/>
    <w:rPr>
      <w:rFonts w:ascii="Arial" w:hAnsi="Arial" w:cs="Arial"/>
      <w:sz w:val="20"/>
      <w:szCs w:val="20"/>
    </w:rPr>
  </w:style>
  <w:style w:type="character" w:customStyle="1" w:styleId="134">
    <w:name w:val="批注主题 Char"/>
    <w:autoRedefine/>
    <w:qFormat/>
    <w:locked/>
    <w:uiPriority w:val="0"/>
    <w:rPr>
      <w:b/>
      <w:bCs/>
      <w:kern w:val="2"/>
      <w:sz w:val="24"/>
      <w:szCs w:val="24"/>
    </w:rPr>
  </w:style>
  <w:style w:type="character" w:customStyle="1" w:styleId="135">
    <w:name w:val="Char Char9"/>
    <w:autoRedefine/>
    <w:qFormat/>
    <w:uiPriority w:val="0"/>
    <w:rPr>
      <w:rFonts w:eastAsia="宋体"/>
      <w:b/>
      <w:bCs/>
      <w:kern w:val="44"/>
      <w:sz w:val="44"/>
      <w:szCs w:val="44"/>
      <w:lang w:val="en-US" w:eastAsia="zh-CN"/>
    </w:rPr>
  </w:style>
  <w:style w:type="character" w:customStyle="1" w:styleId="136">
    <w:name w:val="Footnote Text Char"/>
    <w:autoRedefine/>
    <w:qFormat/>
    <w:uiPriority w:val="0"/>
    <w:rPr>
      <w:rFonts w:eastAsia="宋体"/>
      <w:sz w:val="18"/>
      <w:szCs w:val="18"/>
      <w:lang w:val="en-US" w:eastAsia="zh-CN"/>
    </w:rPr>
  </w:style>
  <w:style w:type="character" w:customStyle="1" w:styleId="137">
    <w:name w:val="不明显参考1"/>
    <w:basedOn w:val="55"/>
    <w:autoRedefine/>
    <w:qFormat/>
    <w:uiPriority w:val="0"/>
    <w:rPr>
      <w:smallCaps/>
      <w:color w:val="auto"/>
      <w:u w:val="single"/>
    </w:rPr>
  </w:style>
  <w:style w:type="character" w:customStyle="1" w:styleId="138">
    <w:name w:val="标题 2 Char"/>
    <w:link w:val="3"/>
    <w:autoRedefine/>
    <w:qFormat/>
    <w:locked/>
    <w:uiPriority w:val="0"/>
    <w:rPr>
      <w:rFonts w:ascii="Arial" w:hAnsi="Arial" w:eastAsia="黑体" w:cs="Arial"/>
      <w:b/>
      <w:bCs/>
      <w:kern w:val="2"/>
      <w:sz w:val="32"/>
      <w:szCs w:val="32"/>
    </w:rPr>
  </w:style>
  <w:style w:type="character" w:customStyle="1" w:styleId="139">
    <w:name w:val="正文缩进2格 Char"/>
    <w:link w:val="140"/>
    <w:autoRedefine/>
    <w:qFormat/>
    <w:locked/>
    <w:uiPriority w:val="99"/>
    <w:rPr>
      <w:rFonts w:ascii="仿宋_GB2312" w:hAnsi="宋体" w:eastAsia="仿宋_GB2312" w:cs="仿宋_GB2312"/>
      <w:kern w:val="2"/>
      <w:sz w:val="28"/>
      <w:szCs w:val="28"/>
    </w:rPr>
  </w:style>
  <w:style w:type="paragraph" w:customStyle="1" w:styleId="140">
    <w:name w:val="正文缩进2格"/>
    <w:basedOn w:val="1"/>
    <w:link w:val="139"/>
    <w:autoRedefine/>
    <w:qFormat/>
    <w:uiPriority w:val="99"/>
    <w:pPr>
      <w:spacing w:line="600" w:lineRule="exact"/>
      <w:ind w:firstLine="639" w:firstLineChars="206"/>
    </w:pPr>
    <w:rPr>
      <w:rFonts w:ascii="仿宋_GB2312" w:hAnsi="宋体" w:eastAsia="仿宋_GB2312"/>
      <w:sz w:val="28"/>
      <w:szCs w:val="28"/>
    </w:rPr>
  </w:style>
  <w:style w:type="character" w:customStyle="1" w:styleId="141">
    <w:name w:val="正文文本 3 字符"/>
    <w:autoRedefine/>
    <w:qFormat/>
    <w:uiPriority w:val="99"/>
    <w:rPr>
      <w:kern w:val="2"/>
      <w:sz w:val="16"/>
      <w:szCs w:val="16"/>
    </w:rPr>
  </w:style>
  <w:style w:type="character" w:customStyle="1" w:styleId="142">
    <w:name w:val="标题 2 Char1"/>
    <w:autoRedefine/>
    <w:qFormat/>
    <w:uiPriority w:val="0"/>
    <w:rPr>
      <w:rFonts w:ascii="Arial" w:hAnsi="Arial" w:eastAsia="黑体" w:cs="Arial"/>
      <w:b/>
      <w:bCs/>
      <w:kern w:val="0"/>
      <w:sz w:val="20"/>
      <w:szCs w:val="20"/>
    </w:rPr>
  </w:style>
  <w:style w:type="character" w:customStyle="1" w:styleId="143">
    <w:name w:val="HTML 预设格式 Char"/>
    <w:autoRedefine/>
    <w:qFormat/>
    <w:locked/>
    <w:uiPriority w:val="99"/>
    <w:rPr>
      <w:rFonts w:ascii="宋体" w:eastAsia="宋体" w:cs="宋体"/>
      <w:sz w:val="24"/>
      <w:szCs w:val="24"/>
    </w:rPr>
  </w:style>
  <w:style w:type="character" w:customStyle="1" w:styleId="144">
    <w:name w:val="正文缩进 Char"/>
    <w:link w:val="14"/>
    <w:autoRedefine/>
    <w:qFormat/>
    <w:locked/>
    <w:uiPriority w:val="0"/>
    <w:rPr>
      <w:kern w:val="2"/>
      <w:sz w:val="24"/>
      <w:szCs w:val="24"/>
    </w:rPr>
  </w:style>
  <w:style w:type="character" w:customStyle="1" w:styleId="145">
    <w:name w:val="标题 3 Char"/>
    <w:link w:val="4"/>
    <w:autoRedefine/>
    <w:qFormat/>
    <w:locked/>
    <w:uiPriority w:val="0"/>
    <w:rPr>
      <w:rFonts w:eastAsia="黑体"/>
      <w:b/>
      <w:bCs/>
      <w:kern w:val="2"/>
      <w:sz w:val="32"/>
      <w:szCs w:val="32"/>
    </w:rPr>
  </w:style>
  <w:style w:type="character" w:customStyle="1" w:styleId="146">
    <w:name w:val="批注文字 Char1"/>
    <w:autoRedefine/>
    <w:qFormat/>
    <w:uiPriority w:val="0"/>
    <w:rPr>
      <w:rFonts w:ascii="Times New Roman" w:hAnsi="Times New Roman" w:eastAsia="宋体" w:cs="Times New Roman"/>
      <w:sz w:val="24"/>
      <w:szCs w:val="24"/>
    </w:rPr>
  </w:style>
  <w:style w:type="character" w:customStyle="1" w:styleId="147">
    <w:name w:val="Heading 3 Char1"/>
    <w:autoRedefine/>
    <w:qFormat/>
    <w:uiPriority w:val="0"/>
    <w:rPr>
      <w:rFonts w:eastAsia="宋体"/>
      <w:b/>
      <w:bCs/>
      <w:kern w:val="2"/>
      <w:sz w:val="32"/>
      <w:szCs w:val="32"/>
      <w:lang w:val="en-US" w:eastAsia="zh-CN"/>
    </w:rPr>
  </w:style>
  <w:style w:type="character" w:customStyle="1" w:styleId="148">
    <w:name w:val="+正文 Char6"/>
    <w:link w:val="149"/>
    <w:autoRedefine/>
    <w:qFormat/>
    <w:locked/>
    <w:uiPriority w:val="99"/>
    <w:rPr>
      <w:sz w:val="28"/>
      <w:szCs w:val="28"/>
    </w:rPr>
  </w:style>
  <w:style w:type="paragraph" w:customStyle="1" w:styleId="149">
    <w:name w:val="+正文"/>
    <w:basedOn w:val="1"/>
    <w:link w:val="148"/>
    <w:autoRedefine/>
    <w:qFormat/>
    <w:uiPriority w:val="99"/>
    <w:pPr>
      <w:spacing w:line="360" w:lineRule="auto"/>
      <w:ind w:firstLine="200" w:firstLineChars="200"/>
    </w:pPr>
    <w:rPr>
      <w:kern w:val="0"/>
      <w:sz w:val="28"/>
      <w:szCs w:val="28"/>
    </w:rPr>
  </w:style>
  <w:style w:type="character" w:customStyle="1" w:styleId="150">
    <w:name w:val="标题1"/>
    <w:autoRedefine/>
    <w:qFormat/>
    <w:uiPriority w:val="99"/>
    <w:rPr>
      <w:rFonts w:eastAsia="宋体"/>
      <w:b/>
      <w:bCs/>
      <w:sz w:val="30"/>
      <w:szCs w:val="30"/>
    </w:rPr>
  </w:style>
  <w:style w:type="character" w:customStyle="1" w:styleId="151">
    <w:name w:val="引用 Char"/>
    <w:autoRedefine/>
    <w:qFormat/>
    <w:locked/>
    <w:uiPriority w:val="0"/>
    <w:rPr>
      <w:i/>
      <w:iCs/>
      <w:color w:val="000000"/>
    </w:rPr>
  </w:style>
  <w:style w:type="paragraph" w:styleId="152">
    <w:name w:val="Quote"/>
    <w:basedOn w:val="1"/>
    <w:next w:val="1"/>
    <w:link w:val="272"/>
    <w:autoRedefine/>
    <w:qFormat/>
    <w:uiPriority w:val="0"/>
    <w:rPr>
      <w:i/>
      <w:iCs/>
      <w:color w:val="000000"/>
      <w:kern w:val="0"/>
      <w:sz w:val="20"/>
      <w:szCs w:val="20"/>
    </w:rPr>
  </w:style>
  <w:style w:type="character" w:customStyle="1" w:styleId="153">
    <w:name w:val="正文文本 3 Char"/>
    <w:autoRedefine/>
    <w:qFormat/>
    <w:locked/>
    <w:uiPriority w:val="99"/>
    <w:rPr>
      <w:kern w:val="2"/>
      <w:sz w:val="16"/>
      <w:szCs w:val="16"/>
    </w:rPr>
  </w:style>
  <w:style w:type="character" w:customStyle="1" w:styleId="154">
    <w:name w:val="样式 Char"/>
    <w:link w:val="155"/>
    <w:autoRedefine/>
    <w:qFormat/>
    <w:locked/>
    <w:uiPriority w:val="0"/>
    <w:rPr>
      <w:rFonts w:ascii="宋体" w:hAnsi="宋体" w:cs="宋体"/>
      <w:sz w:val="24"/>
      <w:szCs w:val="24"/>
      <w:lang w:val="en-US" w:eastAsia="zh-CN" w:bidi="ar-SA"/>
    </w:rPr>
  </w:style>
  <w:style w:type="paragraph" w:customStyle="1" w:styleId="155">
    <w:name w:val="样式"/>
    <w:link w:val="154"/>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56">
    <w:name w:val="标题 1 Char Char"/>
    <w:autoRedefine/>
    <w:qFormat/>
    <w:uiPriority w:val="99"/>
    <w:rPr>
      <w:rFonts w:eastAsia="宋体"/>
      <w:b/>
      <w:bCs/>
      <w:spacing w:val="-2"/>
      <w:sz w:val="24"/>
      <w:szCs w:val="24"/>
      <w:lang w:val="en-US" w:eastAsia="zh-CN"/>
    </w:rPr>
  </w:style>
  <w:style w:type="character" w:customStyle="1" w:styleId="157">
    <w:name w:val="页眉 Char1"/>
    <w:autoRedefine/>
    <w:qFormat/>
    <w:uiPriority w:val="0"/>
    <w:rPr>
      <w:rFonts w:ascii="Times New Roman" w:hAnsi="Times New Roman" w:eastAsia="宋体" w:cs="Times New Roman"/>
      <w:sz w:val="18"/>
      <w:szCs w:val="18"/>
    </w:rPr>
  </w:style>
  <w:style w:type="character" w:customStyle="1" w:styleId="158">
    <w:name w:val="明显参考1"/>
    <w:basedOn w:val="55"/>
    <w:autoRedefine/>
    <w:qFormat/>
    <w:uiPriority w:val="0"/>
    <w:rPr>
      <w:b/>
      <w:bCs/>
      <w:smallCaps/>
      <w:color w:val="auto"/>
      <w:spacing w:val="5"/>
      <w:u w:val="single"/>
    </w:rPr>
  </w:style>
  <w:style w:type="character" w:customStyle="1" w:styleId="159">
    <w:name w:val="正文文本 Char1"/>
    <w:autoRedefine/>
    <w:qFormat/>
    <w:uiPriority w:val="0"/>
    <w:rPr>
      <w:kern w:val="2"/>
      <w:sz w:val="22"/>
      <w:szCs w:val="22"/>
    </w:rPr>
  </w:style>
  <w:style w:type="character" w:customStyle="1" w:styleId="160">
    <w:name w:val="Comment Text Char"/>
    <w:autoRedefine/>
    <w:qFormat/>
    <w:uiPriority w:val="0"/>
    <w:rPr>
      <w:sz w:val="24"/>
      <w:szCs w:val="24"/>
    </w:rPr>
  </w:style>
  <w:style w:type="character" w:customStyle="1" w:styleId="161">
    <w:name w:val="纯文本 Char"/>
    <w:autoRedefine/>
    <w:qFormat/>
    <w:locked/>
    <w:uiPriority w:val="0"/>
    <w:rPr>
      <w:rFonts w:ascii="宋体" w:hAnsi="Courier New" w:eastAsia="宋体" w:cs="宋体"/>
      <w:kern w:val="2"/>
      <w:sz w:val="24"/>
      <w:szCs w:val="24"/>
      <w:lang w:val="en-US" w:eastAsia="zh-CN"/>
    </w:rPr>
  </w:style>
  <w:style w:type="character" w:customStyle="1" w:styleId="162">
    <w:name w:val="Date Char"/>
    <w:autoRedefine/>
    <w:qFormat/>
    <w:uiPriority w:val="0"/>
    <w:rPr>
      <w:rFonts w:eastAsia="宋体"/>
      <w:kern w:val="2"/>
      <w:sz w:val="24"/>
      <w:szCs w:val="24"/>
      <w:lang w:val="en-US" w:eastAsia="zh-CN"/>
    </w:rPr>
  </w:style>
  <w:style w:type="character" w:customStyle="1" w:styleId="163">
    <w:name w:val="Variable"/>
    <w:autoRedefine/>
    <w:qFormat/>
    <w:uiPriority w:val="0"/>
    <w:rPr>
      <w:i/>
      <w:iCs/>
    </w:rPr>
  </w:style>
  <w:style w:type="character" w:customStyle="1" w:styleId="164">
    <w:name w:val="批注框文本 Char1"/>
    <w:autoRedefine/>
    <w:qFormat/>
    <w:uiPriority w:val="0"/>
    <w:rPr>
      <w:rFonts w:ascii="Times New Roman" w:hAnsi="Times New Roman" w:eastAsia="宋体" w:cs="Times New Roman"/>
      <w:sz w:val="18"/>
      <w:szCs w:val="18"/>
    </w:rPr>
  </w:style>
  <w:style w:type="character" w:customStyle="1" w:styleId="165">
    <w:name w:val="正文文本 2 字符"/>
    <w:autoRedefine/>
    <w:qFormat/>
    <w:uiPriority w:val="99"/>
    <w:rPr>
      <w:kern w:val="2"/>
      <w:sz w:val="24"/>
      <w:szCs w:val="24"/>
    </w:rPr>
  </w:style>
  <w:style w:type="character" w:customStyle="1" w:styleId="166">
    <w:name w:val="标题 5 Char"/>
    <w:link w:val="6"/>
    <w:autoRedefine/>
    <w:qFormat/>
    <w:locked/>
    <w:uiPriority w:val="0"/>
    <w:rPr>
      <w:rFonts w:eastAsia="宋体"/>
      <w:b/>
      <w:bCs/>
      <w:kern w:val="2"/>
      <w:sz w:val="28"/>
      <w:szCs w:val="28"/>
      <w:lang w:val="en-US" w:eastAsia="zh-CN"/>
    </w:rPr>
  </w:style>
  <w:style w:type="character" w:customStyle="1" w:styleId="167">
    <w:name w:val="cucd-0 Char"/>
    <w:link w:val="168"/>
    <w:autoRedefine/>
    <w:qFormat/>
    <w:locked/>
    <w:uiPriority w:val="99"/>
    <w:rPr>
      <w:kern w:val="2"/>
      <w:sz w:val="24"/>
      <w:szCs w:val="24"/>
      <w:lang w:val="en-US" w:eastAsia="zh-CN" w:bidi="ar-SA"/>
    </w:rPr>
  </w:style>
  <w:style w:type="paragraph" w:customStyle="1" w:styleId="168">
    <w:name w:val="cucd-0"/>
    <w:link w:val="167"/>
    <w:autoRedefine/>
    <w:qFormat/>
    <w:uiPriority w:val="99"/>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169">
    <w:name w:val="Char Char18"/>
    <w:autoRedefine/>
    <w:qFormat/>
    <w:uiPriority w:val="0"/>
    <w:rPr>
      <w:rFonts w:ascii="Times New Roman" w:hAnsi="Times New Roman" w:eastAsia="宋体" w:cs="Times New Roman"/>
      <w:b/>
      <w:bCs/>
      <w:sz w:val="28"/>
      <w:szCs w:val="28"/>
    </w:rPr>
  </w:style>
  <w:style w:type="character" w:customStyle="1" w:styleId="170">
    <w:name w:val="Document Map Char"/>
    <w:autoRedefine/>
    <w:qFormat/>
    <w:uiPriority w:val="0"/>
    <w:rPr>
      <w:rFonts w:eastAsia="宋体"/>
      <w:kern w:val="2"/>
      <w:sz w:val="24"/>
      <w:szCs w:val="24"/>
      <w:lang w:val="en-US" w:eastAsia="zh-CN"/>
    </w:rPr>
  </w:style>
  <w:style w:type="character" w:customStyle="1" w:styleId="171">
    <w:name w:val="Char Char91"/>
    <w:autoRedefine/>
    <w:qFormat/>
    <w:uiPriority w:val="0"/>
    <w:rPr>
      <w:rFonts w:eastAsia="宋体"/>
      <w:b/>
      <w:bCs/>
      <w:kern w:val="44"/>
      <w:sz w:val="44"/>
      <w:szCs w:val="44"/>
      <w:lang w:val="en-US" w:eastAsia="zh-CN"/>
    </w:rPr>
  </w:style>
  <w:style w:type="character" w:customStyle="1" w:styleId="172">
    <w:name w:val="textcontents"/>
    <w:autoRedefine/>
    <w:qFormat/>
    <w:uiPriority w:val="0"/>
  </w:style>
  <w:style w:type="character" w:customStyle="1" w:styleId="173">
    <w:name w:val="Char Char23"/>
    <w:autoRedefine/>
    <w:qFormat/>
    <w:uiPriority w:val="0"/>
    <w:rPr>
      <w:rFonts w:eastAsia="宋体"/>
      <w:b/>
      <w:bCs/>
      <w:kern w:val="44"/>
      <w:sz w:val="44"/>
      <w:szCs w:val="44"/>
      <w:lang w:val="en-US" w:eastAsia="zh-CN"/>
    </w:rPr>
  </w:style>
  <w:style w:type="character" w:customStyle="1" w:styleId="174">
    <w:name w:val="文档结构图 Char"/>
    <w:autoRedefine/>
    <w:qFormat/>
    <w:locked/>
    <w:uiPriority w:val="0"/>
    <w:rPr>
      <w:kern w:val="2"/>
      <w:sz w:val="24"/>
      <w:szCs w:val="24"/>
      <w:shd w:val="clear" w:color="auto" w:fill="000080"/>
    </w:rPr>
  </w:style>
  <w:style w:type="character" w:customStyle="1" w:styleId="175">
    <w:name w:val="Char Char"/>
    <w:autoRedefine/>
    <w:qFormat/>
    <w:uiPriority w:val="0"/>
    <w:rPr>
      <w:rFonts w:ascii="宋体" w:hAnsi="Courier New" w:eastAsia="宋体" w:cs="宋体"/>
      <w:kern w:val="2"/>
      <w:sz w:val="21"/>
      <w:szCs w:val="21"/>
      <w:lang w:val="en-US" w:eastAsia="zh-CN"/>
    </w:rPr>
  </w:style>
  <w:style w:type="character" w:customStyle="1" w:styleId="176">
    <w:name w:val="Char Char20"/>
    <w:autoRedefine/>
    <w:qFormat/>
    <w:uiPriority w:val="0"/>
    <w:rPr>
      <w:rFonts w:ascii="Times New Roman" w:hAnsi="Times New Roman" w:eastAsia="宋体" w:cs="Times New Roman"/>
      <w:b/>
      <w:bCs/>
      <w:sz w:val="32"/>
      <w:szCs w:val="32"/>
    </w:rPr>
  </w:style>
  <w:style w:type="character" w:customStyle="1" w:styleId="177">
    <w:name w:val="Char Char181"/>
    <w:autoRedefine/>
    <w:qFormat/>
    <w:uiPriority w:val="0"/>
    <w:rPr>
      <w:b/>
      <w:bCs/>
      <w:kern w:val="44"/>
      <w:sz w:val="44"/>
      <w:szCs w:val="44"/>
    </w:rPr>
  </w:style>
  <w:style w:type="character" w:customStyle="1" w:styleId="178">
    <w:name w:val="标题 Char3"/>
    <w:autoRedefine/>
    <w:qFormat/>
    <w:uiPriority w:val="0"/>
    <w:rPr>
      <w:rFonts w:ascii="Cambria" w:hAnsi="Cambria" w:cs="Cambria"/>
      <w:b/>
      <w:bCs/>
      <w:kern w:val="2"/>
      <w:sz w:val="32"/>
      <w:szCs w:val="32"/>
    </w:rPr>
  </w:style>
  <w:style w:type="character" w:customStyle="1" w:styleId="179">
    <w:name w:val="Body Text Indent Char"/>
    <w:autoRedefine/>
    <w:qFormat/>
    <w:uiPriority w:val="0"/>
    <w:rPr>
      <w:rFonts w:ascii="宋体" w:hAnsi="宋体" w:eastAsia="宋体" w:cs="宋体"/>
      <w:kern w:val="2"/>
      <w:sz w:val="21"/>
      <w:szCs w:val="21"/>
      <w:lang w:val="en-US" w:eastAsia="zh-CN"/>
    </w:rPr>
  </w:style>
  <w:style w:type="character" w:customStyle="1" w:styleId="180">
    <w:name w:val="脚注文本 Char"/>
    <w:autoRedefine/>
    <w:qFormat/>
    <w:locked/>
    <w:uiPriority w:val="0"/>
    <w:rPr>
      <w:sz w:val="18"/>
      <w:szCs w:val="18"/>
    </w:rPr>
  </w:style>
  <w:style w:type="character" w:customStyle="1" w:styleId="181">
    <w:name w:val="副标题 Char"/>
    <w:autoRedefine/>
    <w:qFormat/>
    <w:locked/>
    <w:uiPriority w:val="0"/>
    <w:rPr>
      <w:rFonts w:ascii="Cambria" w:hAnsi="Cambria" w:cs="Cambria"/>
      <w:b/>
      <w:bCs/>
      <w:kern w:val="28"/>
      <w:sz w:val="32"/>
      <w:szCs w:val="32"/>
    </w:rPr>
  </w:style>
  <w:style w:type="character" w:customStyle="1" w:styleId="182">
    <w:name w:val="正文文本 Char"/>
    <w:autoRedefine/>
    <w:qFormat/>
    <w:locked/>
    <w:uiPriority w:val="0"/>
    <w:rPr>
      <w:rFonts w:eastAsia="宋体"/>
      <w:kern w:val="2"/>
      <w:sz w:val="22"/>
      <w:szCs w:val="22"/>
      <w:lang w:val="en-US" w:eastAsia="zh-CN"/>
    </w:rPr>
  </w:style>
  <w:style w:type="character" w:customStyle="1" w:styleId="183">
    <w:name w:val="正文文本缩进 3 字符"/>
    <w:autoRedefine/>
    <w:qFormat/>
    <w:uiPriority w:val="99"/>
    <w:rPr>
      <w:kern w:val="2"/>
      <w:sz w:val="16"/>
      <w:szCs w:val="16"/>
    </w:rPr>
  </w:style>
  <w:style w:type="character" w:customStyle="1" w:styleId="184">
    <w:name w:val="无间隔 Char"/>
    <w:link w:val="185"/>
    <w:autoRedefine/>
    <w:qFormat/>
    <w:locked/>
    <w:uiPriority w:val="99"/>
    <w:rPr>
      <w:kern w:val="2"/>
      <w:sz w:val="21"/>
      <w:szCs w:val="21"/>
      <w:lang w:val="en-US" w:eastAsia="zh-CN" w:bidi="ar-SA"/>
    </w:rPr>
  </w:style>
  <w:style w:type="paragraph" w:customStyle="1" w:styleId="185">
    <w:name w:val="无间隔1"/>
    <w:link w:val="184"/>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customStyle="1" w:styleId="186">
    <w:name w:val="Footer Char"/>
    <w:autoRedefine/>
    <w:qFormat/>
    <w:uiPriority w:val="0"/>
    <w:rPr>
      <w:rFonts w:eastAsia="宋体"/>
      <w:kern w:val="2"/>
      <w:sz w:val="18"/>
      <w:szCs w:val="18"/>
      <w:lang w:val="en-US" w:eastAsia="zh-CN"/>
    </w:rPr>
  </w:style>
  <w:style w:type="character" w:customStyle="1" w:styleId="187">
    <w:name w:val="标题 4 Char"/>
    <w:link w:val="5"/>
    <w:autoRedefine/>
    <w:qFormat/>
    <w:locked/>
    <w:uiPriority w:val="0"/>
    <w:rPr>
      <w:rFonts w:ascii="Arial" w:hAnsi="Arial" w:eastAsia="宋体" w:cs="Arial"/>
      <w:b/>
      <w:bCs/>
      <w:kern w:val="2"/>
      <w:sz w:val="28"/>
      <w:szCs w:val="28"/>
      <w:lang w:val="en-US" w:eastAsia="zh-CN"/>
    </w:rPr>
  </w:style>
  <w:style w:type="character" w:customStyle="1" w:styleId="188">
    <w:name w:val="尾注文本 Char"/>
    <w:autoRedefine/>
    <w:qFormat/>
    <w:locked/>
    <w:uiPriority w:val="0"/>
  </w:style>
  <w:style w:type="character" w:customStyle="1" w:styleId="189">
    <w:name w:val="不明显强调1"/>
    <w:basedOn w:val="55"/>
    <w:autoRedefine/>
    <w:qFormat/>
    <w:uiPriority w:val="0"/>
    <w:rPr>
      <w:i/>
      <w:iCs/>
      <w:color w:val="808080"/>
    </w:rPr>
  </w:style>
  <w:style w:type="character" w:customStyle="1" w:styleId="190">
    <w:name w:val="批注文字 Char Char"/>
    <w:autoRedefine/>
    <w:qFormat/>
    <w:uiPriority w:val="0"/>
    <w:rPr>
      <w:rFonts w:ascii="宋体" w:hAnsi="Times New Roman" w:eastAsia="宋体" w:cs="宋体"/>
      <w:sz w:val="20"/>
      <w:szCs w:val="20"/>
    </w:rPr>
  </w:style>
  <w:style w:type="character" w:customStyle="1" w:styleId="191">
    <w:name w:val="明显强调1"/>
    <w:basedOn w:val="55"/>
    <w:autoRedefine/>
    <w:qFormat/>
    <w:uiPriority w:val="0"/>
    <w:rPr>
      <w:b/>
      <w:bCs/>
      <w:i/>
      <w:iCs/>
      <w:color w:val="4F81BD"/>
    </w:rPr>
  </w:style>
  <w:style w:type="character" w:customStyle="1" w:styleId="192">
    <w:name w:val="Char Char22"/>
    <w:autoRedefine/>
    <w:qFormat/>
    <w:uiPriority w:val="0"/>
    <w:rPr>
      <w:rFonts w:ascii="Times New Roman" w:hAnsi="Times New Roman" w:eastAsia="宋体" w:cs="Times New Roman"/>
      <w:b/>
      <w:bCs/>
      <w:kern w:val="44"/>
      <w:sz w:val="44"/>
      <w:szCs w:val="44"/>
    </w:rPr>
  </w:style>
  <w:style w:type="character" w:customStyle="1" w:styleId="193">
    <w:name w:val="Char Char231"/>
    <w:autoRedefine/>
    <w:qFormat/>
    <w:uiPriority w:val="99"/>
    <w:rPr>
      <w:rFonts w:eastAsia="黑体"/>
      <w:b/>
      <w:bCs/>
      <w:kern w:val="44"/>
      <w:sz w:val="44"/>
      <w:szCs w:val="44"/>
    </w:rPr>
  </w:style>
  <w:style w:type="character" w:customStyle="1" w:styleId="194">
    <w:name w:val="Body Text Indent 2 Char"/>
    <w:autoRedefine/>
    <w:qFormat/>
    <w:uiPriority w:val="0"/>
    <w:rPr>
      <w:rFonts w:eastAsia="宋体"/>
      <w:kern w:val="2"/>
      <w:sz w:val="24"/>
      <w:szCs w:val="24"/>
      <w:lang w:val="en-US" w:eastAsia="zh-CN"/>
    </w:rPr>
  </w:style>
  <w:style w:type="character" w:customStyle="1" w:styleId="195">
    <w:name w:val="批注主题 Char1"/>
    <w:autoRedefine/>
    <w:qFormat/>
    <w:uiPriority w:val="0"/>
    <w:rPr>
      <w:rFonts w:ascii="Times New Roman" w:hAnsi="Times New Roman" w:eastAsia="宋体" w:cs="Times New Roman"/>
      <w:b/>
      <w:bCs/>
      <w:sz w:val="24"/>
      <w:szCs w:val="24"/>
    </w:rPr>
  </w:style>
  <w:style w:type="character" w:customStyle="1" w:styleId="196">
    <w:name w:val="引用 Char1"/>
    <w:link w:val="197"/>
    <w:autoRedefine/>
    <w:qFormat/>
    <w:locked/>
    <w:uiPriority w:val="29"/>
    <w:rPr>
      <w:rFonts w:ascii="Times New Roman" w:hAnsi="Times New Roman" w:eastAsia="宋体" w:cs="Times New Roman"/>
      <w:i/>
      <w:iCs/>
      <w:color w:val="000000"/>
      <w:sz w:val="24"/>
      <w:szCs w:val="24"/>
    </w:rPr>
  </w:style>
  <w:style w:type="paragraph" w:customStyle="1" w:styleId="197">
    <w:name w:val="引用1"/>
    <w:basedOn w:val="1"/>
    <w:next w:val="1"/>
    <w:link w:val="196"/>
    <w:autoRedefine/>
    <w:qFormat/>
    <w:uiPriority w:val="29"/>
    <w:rPr>
      <w:i/>
      <w:iCs/>
      <w:color w:val="000000"/>
      <w:kern w:val="0"/>
      <w:sz w:val="24"/>
      <w:szCs w:val="24"/>
    </w:rPr>
  </w:style>
  <w:style w:type="character" w:customStyle="1" w:styleId="198">
    <w:name w:val="Plain Text Char"/>
    <w:autoRedefine/>
    <w:qFormat/>
    <w:uiPriority w:val="0"/>
    <w:rPr>
      <w:rFonts w:ascii="宋体" w:hAnsi="Courier New" w:eastAsia="宋体" w:cs="宋体"/>
      <w:sz w:val="24"/>
      <w:szCs w:val="24"/>
    </w:rPr>
  </w:style>
  <w:style w:type="character" w:customStyle="1" w:styleId="199">
    <w:name w:val="标题 1 Char1"/>
    <w:autoRedefine/>
    <w:qFormat/>
    <w:uiPriority w:val="0"/>
    <w:rPr>
      <w:rFonts w:ascii="Calibri" w:hAnsi="Calibri" w:eastAsia="宋体" w:cs="Calibri"/>
      <w:b/>
      <w:bCs/>
      <w:kern w:val="44"/>
      <w:sz w:val="20"/>
      <w:szCs w:val="20"/>
    </w:rPr>
  </w:style>
  <w:style w:type="character" w:customStyle="1" w:styleId="200">
    <w:name w:val="Char Char21"/>
    <w:autoRedefine/>
    <w:qFormat/>
    <w:uiPriority w:val="0"/>
    <w:rPr>
      <w:rFonts w:ascii="Arial" w:hAnsi="Arial" w:eastAsia="黑体" w:cs="Arial"/>
      <w:b/>
      <w:bCs/>
      <w:sz w:val="32"/>
      <w:szCs w:val="32"/>
    </w:rPr>
  </w:style>
  <w:style w:type="character" w:customStyle="1" w:styleId="201">
    <w:name w:val="Header Char"/>
    <w:autoRedefine/>
    <w:qFormat/>
    <w:uiPriority w:val="0"/>
    <w:rPr>
      <w:rFonts w:eastAsia="宋体"/>
      <w:kern w:val="2"/>
      <w:sz w:val="18"/>
      <w:szCs w:val="18"/>
      <w:lang w:val="en-US" w:eastAsia="zh-CN"/>
    </w:rPr>
  </w:style>
  <w:style w:type="character" w:customStyle="1" w:styleId="202">
    <w:name w:val="页脚 Char"/>
    <w:autoRedefine/>
    <w:qFormat/>
    <w:locked/>
    <w:uiPriority w:val="0"/>
    <w:rPr>
      <w:kern w:val="2"/>
      <w:sz w:val="18"/>
      <w:szCs w:val="18"/>
    </w:rPr>
  </w:style>
  <w:style w:type="character" w:customStyle="1" w:styleId="203">
    <w:name w:val="日期 Char"/>
    <w:autoRedefine/>
    <w:qFormat/>
    <w:locked/>
    <w:uiPriority w:val="0"/>
    <w:rPr>
      <w:kern w:val="2"/>
      <w:sz w:val="24"/>
      <w:szCs w:val="24"/>
    </w:rPr>
  </w:style>
  <w:style w:type="character" w:customStyle="1" w:styleId="204">
    <w:name w:val="批注文字 Char4"/>
    <w:basedOn w:val="55"/>
    <w:link w:val="19"/>
    <w:autoRedefine/>
    <w:semiHidden/>
    <w:qFormat/>
    <w:uiPriority w:val="99"/>
    <w:rPr>
      <w:szCs w:val="21"/>
    </w:rPr>
  </w:style>
  <w:style w:type="character" w:customStyle="1" w:styleId="205">
    <w:name w:val="批注主题 Char3"/>
    <w:basedOn w:val="114"/>
    <w:link w:val="50"/>
    <w:autoRedefine/>
    <w:semiHidden/>
    <w:qFormat/>
    <w:uiPriority w:val="99"/>
    <w:rPr>
      <w:rFonts w:eastAsia="宋体"/>
      <w:b/>
      <w:bCs/>
      <w:kern w:val="2"/>
      <w:sz w:val="24"/>
      <w:szCs w:val="21"/>
      <w:lang w:val="en-US" w:eastAsia="zh-CN"/>
    </w:rPr>
  </w:style>
  <w:style w:type="character" w:customStyle="1" w:styleId="206">
    <w:name w:val="纯文本 Char3"/>
    <w:basedOn w:val="55"/>
    <w:link w:val="29"/>
    <w:autoRedefine/>
    <w:semiHidden/>
    <w:qFormat/>
    <w:uiPriority w:val="99"/>
    <w:rPr>
      <w:rFonts w:ascii="宋体" w:hAnsi="Courier New" w:cs="Courier New"/>
      <w:szCs w:val="21"/>
    </w:rPr>
  </w:style>
  <w:style w:type="character" w:customStyle="1" w:styleId="207">
    <w:name w:val="正文文本 3 Char1"/>
    <w:basedOn w:val="55"/>
    <w:link w:val="20"/>
    <w:autoRedefine/>
    <w:semiHidden/>
    <w:qFormat/>
    <w:uiPriority w:val="99"/>
    <w:rPr>
      <w:sz w:val="16"/>
      <w:szCs w:val="16"/>
    </w:rPr>
  </w:style>
  <w:style w:type="character" w:customStyle="1" w:styleId="208">
    <w:name w:val="标题 Char4"/>
    <w:basedOn w:val="55"/>
    <w:link w:val="49"/>
    <w:autoRedefine/>
    <w:qFormat/>
    <w:uiPriority w:val="10"/>
    <w:rPr>
      <w:rFonts w:ascii="Cambria" w:hAnsi="Cambria" w:cs="Times New Roman"/>
      <w:b/>
      <w:bCs/>
      <w:sz w:val="32"/>
      <w:szCs w:val="32"/>
    </w:rPr>
  </w:style>
  <w:style w:type="character" w:customStyle="1" w:styleId="209">
    <w:name w:val="正文文本缩进 2 Char2"/>
    <w:basedOn w:val="55"/>
    <w:link w:val="32"/>
    <w:autoRedefine/>
    <w:semiHidden/>
    <w:qFormat/>
    <w:uiPriority w:val="99"/>
    <w:rPr>
      <w:szCs w:val="21"/>
    </w:rPr>
  </w:style>
  <w:style w:type="character" w:customStyle="1" w:styleId="210">
    <w:name w:val="日期 Char3"/>
    <w:basedOn w:val="55"/>
    <w:link w:val="31"/>
    <w:autoRedefine/>
    <w:semiHidden/>
    <w:qFormat/>
    <w:uiPriority w:val="99"/>
    <w:rPr>
      <w:szCs w:val="21"/>
    </w:rPr>
  </w:style>
  <w:style w:type="character" w:customStyle="1" w:styleId="211">
    <w:name w:val="HTML 预设格式 Char1"/>
    <w:basedOn w:val="55"/>
    <w:link w:val="47"/>
    <w:autoRedefine/>
    <w:semiHidden/>
    <w:qFormat/>
    <w:uiPriority w:val="99"/>
    <w:rPr>
      <w:rFonts w:ascii="Courier New" w:hAnsi="Courier New" w:cs="Courier New"/>
      <w:sz w:val="20"/>
      <w:szCs w:val="20"/>
    </w:rPr>
  </w:style>
  <w:style w:type="character" w:customStyle="1" w:styleId="212">
    <w:name w:val="正文文本缩进 3 Char1"/>
    <w:basedOn w:val="55"/>
    <w:link w:val="43"/>
    <w:autoRedefine/>
    <w:semiHidden/>
    <w:qFormat/>
    <w:uiPriority w:val="99"/>
    <w:rPr>
      <w:sz w:val="16"/>
      <w:szCs w:val="16"/>
    </w:rPr>
  </w:style>
  <w:style w:type="character" w:customStyle="1" w:styleId="213">
    <w:name w:val="批注框文本 Char3"/>
    <w:basedOn w:val="55"/>
    <w:link w:val="34"/>
    <w:autoRedefine/>
    <w:semiHidden/>
    <w:qFormat/>
    <w:uiPriority w:val="99"/>
    <w:rPr>
      <w:sz w:val="0"/>
      <w:szCs w:val="0"/>
    </w:rPr>
  </w:style>
  <w:style w:type="character" w:customStyle="1" w:styleId="214">
    <w:name w:val="正文文本 Char3"/>
    <w:basedOn w:val="55"/>
    <w:link w:val="21"/>
    <w:autoRedefine/>
    <w:semiHidden/>
    <w:qFormat/>
    <w:uiPriority w:val="99"/>
    <w:rPr>
      <w:szCs w:val="21"/>
    </w:rPr>
  </w:style>
  <w:style w:type="character" w:customStyle="1" w:styleId="215">
    <w:name w:val="副标题 Char2"/>
    <w:basedOn w:val="55"/>
    <w:link w:val="39"/>
    <w:autoRedefine/>
    <w:qFormat/>
    <w:uiPriority w:val="11"/>
    <w:rPr>
      <w:rFonts w:ascii="Cambria" w:hAnsi="Cambria" w:cs="Times New Roman"/>
      <w:b/>
      <w:bCs/>
      <w:kern w:val="28"/>
      <w:sz w:val="32"/>
      <w:szCs w:val="32"/>
    </w:rPr>
  </w:style>
  <w:style w:type="character" w:customStyle="1" w:styleId="216">
    <w:name w:val="尾注文本 Char1"/>
    <w:basedOn w:val="55"/>
    <w:link w:val="33"/>
    <w:autoRedefine/>
    <w:semiHidden/>
    <w:qFormat/>
    <w:uiPriority w:val="99"/>
    <w:rPr>
      <w:szCs w:val="21"/>
    </w:rPr>
  </w:style>
  <w:style w:type="character" w:customStyle="1" w:styleId="217">
    <w:name w:val="正文文本缩进 Char2"/>
    <w:basedOn w:val="55"/>
    <w:link w:val="22"/>
    <w:autoRedefine/>
    <w:semiHidden/>
    <w:qFormat/>
    <w:uiPriority w:val="99"/>
    <w:rPr>
      <w:szCs w:val="21"/>
    </w:rPr>
  </w:style>
  <w:style w:type="character" w:customStyle="1" w:styleId="218">
    <w:name w:val="文档结构图 Char3"/>
    <w:basedOn w:val="55"/>
    <w:link w:val="17"/>
    <w:autoRedefine/>
    <w:semiHidden/>
    <w:qFormat/>
    <w:uiPriority w:val="99"/>
    <w:rPr>
      <w:sz w:val="0"/>
      <w:szCs w:val="0"/>
    </w:rPr>
  </w:style>
  <w:style w:type="character" w:customStyle="1" w:styleId="219">
    <w:name w:val="页脚 Char2"/>
    <w:basedOn w:val="55"/>
    <w:link w:val="35"/>
    <w:autoRedefine/>
    <w:semiHidden/>
    <w:qFormat/>
    <w:uiPriority w:val="99"/>
    <w:rPr>
      <w:sz w:val="18"/>
      <w:szCs w:val="18"/>
    </w:rPr>
  </w:style>
  <w:style w:type="character" w:customStyle="1" w:styleId="220">
    <w:name w:val="脚注文本 Char2"/>
    <w:basedOn w:val="55"/>
    <w:link w:val="41"/>
    <w:autoRedefine/>
    <w:semiHidden/>
    <w:qFormat/>
    <w:uiPriority w:val="99"/>
    <w:rPr>
      <w:sz w:val="18"/>
      <w:szCs w:val="18"/>
    </w:rPr>
  </w:style>
  <w:style w:type="character" w:customStyle="1" w:styleId="221">
    <w:name w:val="正文文本 2 Char1"/>
    <w:basedOn w:val="55"/>
    <w:link w:val="46"/>
    <w:autoRedefine/>
    <w:semiHidden/>
    <w:qFormat/>
    <w:uiPriority w:val="99"/>
    <w:rPr>
      <w:szCs w:val="21"/>
    </w:rPr>
  </w:style>
  <w:style w:type="character" w:customStyle="1" w:styleId="222">
    <w:name w:val="页眉 Char2"/>
    <w:basedOn w:val="55"/>
    <w:link w:val="36"/>
    <w:autoRedefine/>
    <w:semiHidden/>
    <w:qFormat/>
    <w:uiPriority w:val="99"/>
    <w:rPr>
      <w:sz w:val="18"/>
      <w:szCs w:val="18"/>
    </w:rPr>
  </w:style>
  <w:style w:type="paragraph" w:customStyle="1" w:styleId="223">
    <w:name w:val="正文通用"/>
    <w:basedOn w:val="1"/>
    <w:autoRedefine/>
    <w:qFormat/>
    <w:uiPriority w:val="99"/>
    <w:pPr>
      <w:spacing w:line="360" w:lineRule="auto"/>
      <w:ind w:firstLine="880" w:firstLineChars="200"/>
    </w:pPr>
    <w:rPr>
      <w:sz w:val="24"/>
      <w:szCs w:val="24"/>
    </w:rPr>
  </w:style>
  <w:style w:type="paragraph" w:customStyle="1" w:styleId="224">
    <w:name w:val="Char1"/>
    <w:basedOn w:val="1"/>
    <w:autoRedefine/>
    <w:qFormat/>
    <w:uiPriority w:val="0"/>
    <w:pPr>
      <w:widowControl/>
      <w:spacing w:after="160" w:line="240" w:lineRule="exact"/>
      <w:jc w:val="left"/>
    </w:pPr>
  </w:style>
  <w:style w:type="paragraph" w:customStyle="1" w:styleId="225">
    <w:name w:val="样式1"/>
    <w:basedOn w:val="1"/>
    <w:next w:val="5"/>
    <w:autoRedefine/>
    <w:qFormat/>
    <w:uiPriority w:val="0"/>
    <w:pPr>
      <w:spacing w:line="360" w:lineRule="auto"/>
      <w:ind w:firstLine="420" w:firstLineChars="200"/>
    </w:pPr>
    <w:rPr>
      <w:rFonts w:ascii="宋体" w:hAnsi="宋体" w:cs="宋体"/>
    </w:rPr>
  </w:style>
  <w:style w:type="paragraph" w:customStyle="1" w:styleId="226">
    <w:name w:val="_Style 178"/>
    <w:basedOn w:val="1"/>
    <w:next w:val="1"/>
    <w:autoRedefine/>
    <w:qFormat/>
    <w:uiPriority w:val="99"/>
    <w:pPr>
      <w:spacing w:before="60" w:line="400" w:lineRule="exact"/>
    </w:pPr>
    <w:rPr>
      <w:rFonts w:eastAsia="黑体"/>
    </w:rPr>
  </w:style>
  <w:style w:type="paragraph" w:customStyle="1" w:styleId="227">
    <w:name w:val="修订1"/>
    <w:autoRedefine/>
    <w:qFormat/>
    <w:uiPriority w:val="0"/>
    <w:rPr>
      <w:rFonts w:ascii="Times New Roman" w:hAnsi="Times New Roman" w:eastAsia="宋体" w:cs="Times New Roman"/>
      <w:kern w:val="2"/>
      <w:sz w:val="21"/>
      <w:szCs w:val="21"/>
      <w:lang w:val="en-US" w:eastAsia="zh-CN" w:bidi="ar-SA"/>
    </w:rPr>
  </w:style>
  <w:style w:type="paragraph" w:customStyle="1" w:styleId="228">
    <w:name w:val="flType"/>
    <w:basedOn w:val="1"/>
    <w:autoRedefine/>
    <w:qFormat/>
    <w:uiPriority w:val="0"/>
    <w:pPr>
      <w:adjustRightInd w:val="0"/>
      <w:spacing w:after="284" w:line="113" w:lineRule="atLeast"/>
      <w:jc w:val="center"/>
    </w:pPr>
    <w:rPr>
      <w:kern w:val="0"/>
      <w:sz w:val="24"/>
      <w:szCs w:val="24"/>
    </w:rPr>
  </w:style>
  <w:style w:type="paragraph" w:customStyle="1" w:styleId="229">
    <w:name w:val="标题_0"/>
    <w:basedOn w:val="230"/>
    <w:autoRedefine/>
    <w:qFormat/>
    <w:uiPriority w:val="0"/>
    <w:pPr>
      <w:spacing w:before="120" w:after="120" w:line="360" w:lineRule="auto"/>
      <w:jc w:val="center"/>
      <w:outlineLvl w:val="0"/>
    </w:pPr>
    <w:rPr>
      <w:rFonts w:ascii="黑体" w:hAnsi="Arial" w:eastAsia="黑体" w:cs="黑体"/>
      <w:b/>
      <w:bCs/>
      <w:kern w:val="2"/>
      <w:sz w:val="32"/>
      <w:szCs w:val="32"/>
    </w:rPr>
  </w:style>
  <w:style w:type="paragraph" w:customStyle="1" w:styleId="230">
    <w:name w:val="正文_1"/>
    <w:autoRedefine/>
    <w:qFormat/>
    <w:uiPriority w:val="0"/>
    <w:rPr>
      <w:rFonts w:ascii="Times New Roman" w:hAnsi="Times New Roman" w:eastAsia="宋体" w:cs="Times New Roman"/>
      <w:sz w:val="21"/>
      <w:szCs w:val="21"/>
      <w:lang w:val="en-US" w:eastAsia="zh-CN" w:bidi="ar-SA"/>
    </w:rPr>
  </w:style>
  <w:style w:type="paragraph" w:customStyle="1" w:styleId="231">
    <w:name w:val="Char Char1 Char Char Char Char Char Char Char"/>
    <w:basedOn w:val="1"/>
    <w:autoRedefine/>
    <w:qFormat/>
    <w:uiPriority w:val="99"/>
  </w:style>
  <w:style w:type="paragraph" w:customStyle="1" w:styleId="232">
    <w:name w:val="xl72"/>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33">
    <w:name w:val="样式 标题 3 + (中文) 黑体 小四 非加粗 段前: 7.8 磅 段后: 0 磅 行距: 固定值 20 磅"/>
    <w:basedOn w:val="4"/>
    <w:autoRedefine/>
    <w:qFormat/>
    <w:uiPriority w:val="0"/>
    <w:pPr>
      <w:spacing w:line="400" w:lineRule="exact"/>
    </w:pPr>
    <w:rPr>
      <w:b w:val="0"/>
      <w:bCs w:val="0"/>
    </w:rPr>
  </w:style>
  <w:style w:type="paragraph" w:customStyle="1" w:styleId="234">
    <w:name w:val="空半行"/>
    <w:basedOn w:val="1"/>
    <w:autoRedefine/>
    <w:qFormat/>
    <w:uiPriority w:val="0"/>
    <w:pPr>
      <w:adjustRightInd w:val="0"/>
      <w:spacing w:line="120" w:lineRule="exact"/>
      <w:textAlignment w:val="baseline"/>
    </w:pPr>
    <w:rPr>
      <w:rFonts w:eastAsia="仿宋_GB2312"/>
      <w:color w:val="FFFFFF"/>
      <w:kern w:val="0"/>
      <w:sz w:val="30"/>
      <w:szCs w:val="30"/>
    </w:rPr>
  </w:style>
  <w:style w:type="paragraph" w:customStyle="1" w:styleId="235">
    <w:name w:val="正文 New New New New New New New New New New New New New New New New New New New New New New New New New New New New New New"/>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36">
    <w:name w:val="xl78"/>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37">
    <w:name w:val="flNote"/>
    <w:basedOn w:val="1"/>
    <w:autoRedefine/>
    <w:qFormat/>
    <w:uiPriority w:val="0"/>
    <w:pPr>
      <w:adjustRightInd w:val="0"/>
      <w:spacing w:before="320" w:after="160" w:line="360" w:lineRule="atLeast"/>
      <w:jc w:val="center"/>
      <w:textAlignment w:val="baseline"/>
    </w:pPr>
    <w:rPr>
      <w:rFonts w:ascii="Arial" w:eastAsia="黑体" w:cs="Arial"/>
      <w:kern w:val="0"/>
      <w:sz w:val="30"/>
      <w:szCs w:val="30"/>
    </w:rPr>
  </w:style>
  <w:style w:type="paragraph" w:customStyle="1" w:styleId="238">
    <w:name w:val="_Style 37"/>
    <w:basedOn w:val="1"/>
    <w:next w:val="1"/>
    <w:autoRedefine/>
    <w:qFormat/>
    <w:uiPriority w:val="0"/>
  </w:style>
  <w:style w:type="paragraph" w:customStyle="1" w:styleId="239">
    <w:name w:val="正文缩进_0"/>
    <w:basedOn w:val="230"/>
    <w:autoRedefine/>
    <w:qFormat/>
    <w:uiPriority w:val="0"/>
    <w:pPr>
      <w:widowControl w:val="0"/>
      <w:ind w:firstLine="420"/>
      <w:jc w:val="both"/>
    </w:pPr>
    <w:rPr>
      <w:kern w:val="2"/>
      <w:u w:val="single"/>
    </w:rPr>
  </w:style>
  <w:style w:type="paragraph" w:customStyle="1" w:styleId="240">
    <w:name w:val="默认段落字体 Para Char Char Char Char"/>
    <w:basedOn w:val="1"/>
    <w:autoRedefine/>
    <w:qFormat/>
    <w:uiPriority w:val="0"/>
  </w:style>
  <w:style w:type="paragraph" w:customStyle="1" w:styleId="241">
    <w:name w:val="菲页1"/>
    <w:basedOn w:val="3"/>
    <w:autoRedefine/>
    <w:qFormat/>
    <w:uiPriority w:val="0"/>
    <w:pPr>
      <w:widowControl/>
      <w:spacing w:before="260" w:after="260" w:line="480" w:lineRule="exact"/>
      <w:jc w:val="center"/>
    </w:pPr>
    <w:rPr>
      <w:rFonts w:ascii="黑体" w:hAnsi="宋体" w:cs="黑体"/>
      <w:b w:val="0"/>
      <w:bCs w:val="0"/>
      <w:color w:val="000000"/>
      <w:kern w:val="0"/>
      <w:sz w:val="52"/>
      <w:szCs w:val="52"/>
    </w:rPr>
  </w:style>
  <w:style w:type="paragraph" w:customStyle="1" w:styleId="242">
    <w:name w:val="标题 3_0"/>
    <w:basedOn w:val="28"/>
    <w:next w:val="28"/>
    <w:autoRedefine/>
    <w:qFormat/>
    <w:uiPriority w:val="0"/>
    <w:pPr>
      <w:keepNext/>
      <w:keepLines/>
      <w:spacing w:before="260" w:after="260" w:line="413" w:lineRule="auto"/>
      <w:outlineLvl w:val="2"/>
    </w:pPr>
    <w:rPr>
      <w:rFonts w:ascii="Times New Roman" w:hAnsi="Times New Roman" w:cs="Times New Roman"/>
      <w:b/>
      <w:bCs/>
      <w:sz w:val="32"/>
      <w:szCs w:val="32"/>
    </w:rPr>
  </w:style>
  <w:style w:type="character" w:customStyle="1" w:styleId="243">
    <w:name w:val="明显引用 Char3"/>
    <w:basedOn w:val="55"/>
    <w:link w:val="128"/>
    <w:autoRedefine/>
    <w:qFormat/>
    <w:uiPriority w:val="30"/>
    <w:rPr>
      <w:b/>
      <w:bCs/>
      <w:i/>
      <w:iCs/>
      <w:color w:val="4F81BD"/>
      <w:szCs w:val="21"/>
    </w:rPr>
  </w:style>
  <w:style w:type="paragraph" w:customStyle="1" w:styleId="244">
    <w:name w:val="p0"/>
    <w:basedOn w:val="1"/>
    <w:autoRedefine/>
    <w:qFormat/>
    <w:uiPriority w:val="0"/>
    <w:pPr>
      <w:widowControl/>
    </w:pPr>
    <w:rPr>
      <w:rFonts w:ascii="Calibri" w:hAnsi="Calibri" w:cs="Calibri"/>
      <w:kern w:val="0"/>
    </w:rPr>
  </w:style>
  <w:style w:type="paragraph" w:customStyle="1" w:styleId="245">
    <w:name w:val="正文文本_0"/>
    <w:basedOn w:val="28"/>
    <w:autoRedefine/>
    <w:qFormat/>
    <w:uiPriority w:val="0"/>
    <w:pPr>
      <w:adjustRightInd w:val="0"/>
      <w:spacing w:after="60" w:line="360" w:lineRule="atLeast"/>
      <w:ind w:left="72" w:leftChars="30" w:right="30" w:rightChars="30"/>
      <w:jc w:val="center"/>
      <w:textAlignment w:val="baseline"/>
    </w:pPr>
    <w:rPr>
      <w:rFonts w:ascii="Times New Roman" w:hAnsi="Times New Roman" w:cs="Times New Roman"/>
      <w:kern w:val="0"/>
      <w:sz w:val="20"/>
      <w:szCs w:val="20"/>
    </w:rPr>
  </w:style>
  <w:style w:type="paragraph" w:customStyle="1" w:styleId="246">
    <w:name w:val="xl83"/>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47">
    <w:name w:val="Address"/>
    <w:basedOn w:val="1"/>
    <w:next w:val="1"/>
    <w:autoRedefine/>
    <w:qFormat/>
    <w:uiPriority w:val="0"/>
    <w:pPr>
      <w:autoSpaceDE w:val="0"/>
      <w:autoSpaceDN w:val="0"/>
      <w:adjustRightInd w:val="0"/>
      <w:jc w:val="left"/>
    </w:pPr>
    <w:rPr>
      <w:i/>
      <w:iCs/>
      <w:kern w:val="0"/>
      <w:sz w:val="24"/>
      <w:szCs w:val="24"/>
    </w:rPr>
  </w:style>
  <w:style w:type="paragraph" w:customStyle="1" w:styleId="248">
    <w:name w:val="标书内容"/>
    <w:basedOn w:val="1"/>
    <w:autoRedefine/>
    <w:qFormat/>
    <w:uiPriority w:val="99"/>
    <w:pPr>
      <w:spacing w:line="360" w:lineRule="auto"/>
      <w:ind w:firstLine="200" w:firstLineChars="200"/>
      <w:jc w:val="left"/>
    </w:pPr>
  </w:style>
  <w:style w:type="paragraph" w:customStyle="1" w:styleId="249">
    <w:name w:val="标题 4_0"/>
    <w:basedOn w:val="28"/>
    <w:next w:val="28"/>
    <w:autoRedefine/>
    <w:qFormat/>
    <w:uiPriority w:val="0"/>
    <w:pPr>
      <w:keepNext/>
      <w:keepLines/>
      <w:spacing w:before="280" w:after="290" w:line="372" w:lineRule="auto"/>
      <w:outlineLvl w:val="3"/>
    </w:pPr>
    <w:rPr>
      <w:rFonts w:ascii="Cambria" w:hAnsi="Cambria" w:cs="Cambria"/>
      <w:b/>
      <w:bCs/>
      <w:sz w:val="28"/>
      <w:szCs w:val="28"/>
    </w:rPr>
  </w:style>
  <w:style w:type="paragraph" w:customStyle="1" w:styleId="250">
    <w:name w:val="Char Char Char"/>
    <w:basedOn w:val="1"/>
    <w:autoRedefine/>
    <w:qFormat/>
    <w:uiPriority w:val="99"/>
    <w:rPr>
      <w:rFonts w:ascii="Tahoma" w:hAnsi="Tahoma" w:cs="Tahoma"/>
      <w:sz w:val="24"/>
      <w:szCs w:val="24"/>
    </w:rPr>
  </w:style>
  <w:style w:type="paragraph" w:customStyle="1" w:styleId="251">
    <w:name w:val="列出段落21"/>
    <w:basedOn w:val="1"/>
    <w:autoRedefine/>
    <w:qFormat/>
    <w:uiPriority w:val="99"/>
    <w:pPr>
      <w:ind w:firstLine="420" w:firstLineChars="200"/>
    </w:pPr>
  </w:style>
  <w:style w:type="paragraph" w:customStyle="1" w:styleId="252">
    <w:name w:val="xl27"/>
    <w:basedOn w:val="1"/>
    <w:autoRedefine/>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53">
    <w:name w:val="TOC 标题_0"/>
    <w:basedOn w:val="254"/>
    <w:next w:val="28"/>
    <w:autoRedefine/>
    <w:qFormat/>
    <w:uiPriority w:val="0"/>
    <w:pPr>
      <w:outlineLvl w:val="9"/>
    </w:pPr>
    <w:rPr>
      <w:rFonts w:ascii="Calibri" w:hAnsi="Calibri" w:cs="Calibri"/>
    </w:rPr>
  </w:style>
  <w:style w:type="paragraph" w:customStyle="1" w:styleId="254">
    <w:name w:val="标题 1_0"/>
    <w:basedOn w:val="28"/>
    <w:next w:val="28"/>
    <w:autoRedefine/>
    <w:qFormat/>
    <w:uiPriority w:val="0"/>
    <w:pPr>
      <w:keepNext/>
      <w:keepLines/>
      <w:spacing w:before="340" w:after="330" w:line="576" w:lineRule="auto"/>
      <w:outlineLvl w:val="0"/>
    </w:pPr>
    <w:rPr>
      <w:rFonts w:ascii="Times New Roman" w:hAnsi="Times New Roman" w:cs="Times New Roman"/>
      <w:b/>
      <w:bCs/>
      <w:kern w:val="44"/>
      <w:sz w:val="44"/>
      <w:szCs w:val="44"/>
    </w:rPr>
  </w:style>
  <w:style w:type="paragraph" w:customStyle="1" w:styleId="255">
    <w:name w:val="xl90"/>
    <w:basedOn w:val="1"/>
    <w:autoRedefine/>
    <w:qFormat/>
    <w:uiPriority w:val="99"/>
    <w:pPr>
      <w:widowControl/>
      <w:spacing w:before="100" w:beforeAutospacing="1" w:after="100" w:afterAutospacing="1"/>
      <w:jc w:val="center"/>
    </w:pPr>
    <w:rPr>
      <w:rFonts w:ascii="宋体" w:hAnsi="宋体" w:cs="宋体"/>
      <w:b/>
      <w:bCs/>
      <w:kern w:val="0"/>
      <w:sz w:val="40"/>
      <w:szCs w:val="40"/>
      <w:u w:val="single"/>
    </w:rPr>
  </w:style>
  <w:style w:type="paragraph" w:customStyle="1" w:styleId="256">
    <w:name w:val="Blockquote"/>
    <w:basedOn w:val="1"/>
    <w:autoRedefine/>
    <w:qFormat/>
    <w:uiPriority w:val="0"/>
    <w:pPr>
      <w:autoSpaceDE w:val="0"/>
      <w:autoSpaceDN w:val="0"/>
      <w:adjustRightInd w:val="0"/>
      <w:spacing w:before="100" w:after="100"/>
      <w:ind w:left="360" w:right="360"/>
      <w:jc w:val="left"/>
    </w:pPr>
    <w:rPr>
      <w:kern w:val="0"/>
      <w:sz w:val="24"/>
      <w:szCs w:val="24"/>
    </w:rPr>
  </w:style>
  <w:style w:type="paragraph" w:customStyle="1" w:styleId="257">
    <w:name w:val="msolistparagraph"/>
    <w:basedOn w:val="1"/>
    <w:autoRedefine/>
    <w:qFormat/>
    <w:uiPriority w:val="99"/>
    <w:pPr>
      <w:spacing w:line="360" w:lineRule="auto"/>
      <w:ind w:firstLine="420" w:firstLineChars="200"/>
    </w:pPr>
    <w:rPr>
      <w:sz w:val="24"/>
      <w:szCs w:val="24"/>
    </w:rPr>
  </w:style>
  <w:style w:type="paragraph" w:customStyle="1" w:styleId="258">
    <w:name w:val="Char Char Char Char Char Char Char1"/>
    <w:basedOn w:val="1"/>
    <w:autoRedefine/>
    <w:semiHidden/>
    <w:qFormat/>
    <w:uiPriority w:val="99"/>
    <w:pPr>
      <w:widowControl/>
      <w:spacing w:line="400" w:lineRule="exact"/>
      <w:jc w:val="center"/>
    </w:pPr>
    <w:rPr>
      <w:rFonts w:ascii="Verdana" w:hAnsi="Verdana" w:cs="Verdana"/>
      <w:kern w:val="0"/>
      <w:lang w:eastAsia="en-US"/>
    </w:rPr>
  </w:style>
  <w:style w:type="paragraph" w:customStyle="1" w:styleId="259">
    <w:name w:val="Char Char Char Char"/>
    <w:basedOn w:val="1"/>
    <w:autoRedefine/>
    <w:qFormat/>
    <w:uiPriority w:val="0"/>
    <w:pPr>
      <w:widowControl/>
      <w:spacing w:line="500" w:lineRule="exact"/>
      <w:outlineLvl w:val="2"/>
    </w:pPr>
    <w:rPr>
      <w:rFonts w:ascii="黑体" w:hAnsi="Verdana" w:eastAsia="黑体" w:cs="黑体"/>
      <w:kern w:val="0"/>
      <w:sz w:val="28"/>
      <w:szCs w:val="28"/>
      <w:lang w:eastAsia="en-US"/>
    </w:rPr>
  </w:style>
  <w:style w:type="paragraph" w:styleId="260">
    <w:name w:val="List Paragraph"/>
    <w:basedOn w:val="1"/>
    <w:autoRedefine/>
    <w:qFormat/>
    <w:uiPriority w:val="0"/>
    <w:pPr>
      <w:ind w:firstLine="420" w:firstLineChars="200"/>
    </w:pPr>
    <w:rPr>
      <w:rFonts w:ascii="Calibri" w:hAnsi="Calibri" w:cs="Calibri"/>
    </w:rPr>
  </w:style>
  <w:style w:type="paragraph" w:customStyle="1" w:styleId="261">
    <w:name w:val="2-2ji"/>
    <w:basedOn w:val="3"/>
    <w:autoRedefine/>
    <w:qFormat/>
    <w:uiPriority w:val="0"/>
    <w:pPr>
      <w:spacing w:before="0" w:after="0" w:line="360" w:lineRule="auto"/>
      <w:jc w:val="center"/>
    </w:pPr>
    <w:rPr>
      <w:rFonts w:ascii="宋体" w:hAnsi="宋体" w:eastAsia="宋体" w:cs="宋体"/>
      <w:sz w:val="36"/>
      <w:szCs w:val="36"/>
    </w:rPr>
  </w:style>
  <w:style w:type="paragraph" w:customStyle="1" w:styleId="262">
    <w:name w:val="TOC 标题1"/>
    <w:basedOn w:val="2"/>
    <w:next w:val="1"/>
    <w:autoRedefine/>
    <w:qFormat/>
    <w:uiPriority w:val="0"/>
    <w:pPr>
      <w:spacing w:before="340" w:after="330" w:line="576" w:lineRule="auto"/>
      <w:outlineLvl w:val="9"/>
    </w:pPr>
    <w:rPr>
      <w:rFonts w:ascii="Calibri" w:hAnsi="Calibri" w:cs="Calibri"/>
    </w:rPr>
  </w:style>
  <w:style w:type="paragraph" w:customStyle="1" w:styleId="263">
    <w:name w:val="Char"/>
    <w:basedOn w:val="1"/>
    <w:autoRedefine/>
    <w:qFormat/>
    <w:uiPriority w:val="0"/>
    <w:pPr>
      <w:widowControl/>
      <w:spacing w:after="160" w:line="240" w:lineRule="exact"/>
      <w:jc w:val="left"/>
    </w:pPr>
  </w:style>
  <w:style w:type="paragraph" w:customStyle="1" w:styleId="264">
    <w:name w:val="正文内容"/>
    <w:basedOn w:val="1"/>
    <w:autoRedefine/>
    <w:qFormat/>
    <w:uiPriority w:val="99"/>
    <w:pPr>
      <w:spacing w:line="520" w:lineRule="exact"/>
      <w:ind w:firstLine="200" w:firstLineChars="200"/>
    </w:pPr>
    <w:rPr>
      <w:rFonts w:ascii="方正仿宋简体" w:eastAsia="方正仿宋简体" w:cs="方正仿宋简体"/>
      <w:sz w:val="28"/>
      <w:szCs w:val="28"/>
    </w:rPr>
  </w:style>
  <w:style w:type="paragraph" w:customStyle="1" w:styleId="265">
    <w:name w:val="xl99"/>
    <w:basedOn w:val="1"/>
    <w:autoRedefine/>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styleId="266">
    <w:name w:val="No Spacing"/>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67">
    <w:name w:val="目录文字"/>
    <w:basedOn w:val="1"/>
    <w:autoRedefine/>
    <w:qFormat/>
    <w:uiPriority w:val="0"/>
    <w:pPr>
      <w:widowControl/>
      <w:spacing w:line="480" w:lineRule="auto"/>
      <w:jc w:val="left"/>
    </w:pPr>
    <w:rPr>
      <w:rFonts w:ascii="宋体" w:hAnsi="宋体" w:cs="宋体"/>
      <w:kern w:val="0"/>
      <w:sz w:val="24"/>
      <w:szCs w:val="24"/>
    </w:rPr>
  </w:style>
  <w:style w:type="paragraph" w:customStyle="1" w:styleId="268">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b w:val="0"/>
      <w:bCs w:val="0"/>
      <w:kern w:val="0"/>
      <w:sz w:val="28"/>
      <w:szCs w:val="28"/>
    </w:rPr>
  </w:style>
  <w:style w:type="paragraph" w:customStyle="1" w:styleId="269">
    <w:name w:val="_Style 53"/>
    <w:basedOn w:val="1"/>
    <w:autoRedefine/>
    <w:qFormat/>
    <w:uiPriority w:val="99"/>
    <w:pPr>
      <w:ind w:firstLine="420" w:firstLineChars="200"/>
    </w:pPr>
    <w:rPr>
      <w:rFonts w:ascii="Calibri" w:hAnsi="Calibri" w:cs="Calibri"/>
    </w:rPr>
  </w:style>
  <w:style w:type="paragraph" w:customStyle="1" w:styleId="270">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71">
    <w:name w:val="Char Char Char2"/>
    <w:basedOn w:val="1"/>
    <w:autoRedefine/>
    <w:qFormat/>
    <w:uiPriority w:val="99"/>
    <w:rPr>
      <w:rFonts w:ascii="Tahoma" w:hAnsi="Tahoma" w:cs="Tahoma"/>
      <w:sz w:val="24"/>
      <w:szCs w:val="24"/>
    </w:rPr>
  </w:style>
  <w:style w:type="character" w:customStyle="1" w:styleId="272">
    <w:name w:val="引用 Char3"/>
    <w:basedOn w:val="55"/>
    <w:link w:val="152"/>
    <w:autoRedefine/>
    <w:qFormat/>
    <w:uiPriority w:val="29"/>
    <w:rPr>
      <w:i/>
      <w:iCs/>
      <w:color w:val="000000"/>
      <w:szCs w:val="21"/>
    </w:rPr>
  </w:style>
  <w:style w:type="paragraph" w:customStyle="1" w:styleId="273">
    <w:name w:val="1"/>
    <w:basedOn w:val="1"/>
    <w:next w:val="1"/>
    <w:autoRedefine/>
    <w:qFormat/>
    <w:uiPriority w:val="0"/>
  </w:style>
  <w:style w:type="paragraph" w:customStyle="1" w:styleId="274">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font8"/>
    <w:basedOn w:val="1"/>
    <w:autoRedefine/>
    <w:qFormat/>
    <w:uiPriority w:val="99"/>
    <w:pPr>
      <w:widowControl/>
      <w:spacing w:before="100" w:beforeAutospacing="1" w:after="100" w:afterAutospacing="1"/>
      <w:jc w:val="left"/>
    </w:pPr>
    <w:rPr>
      <w:rFonts w:ascii="宋体" w:hAnsi="宋体" w:cs="宋体"/>
      <w:kern w:val="0"/>
      <w:sz w:val="18"/>
      <w:szCs w:val="18"/>
    </w:rPr>
  </w:style>
  <w:style w:type="paragraph" w:customStyle="1" w:styleId="276">
    <w:name w:val="Char Char Char Char Char Char Char"/>
    <w:basedOn w:val="1"/>
    <w:autoRedefine/>
    <w:qFormat/>
    <w:uiPriority w:val="0"/>
    <w:pPr>
      <w:widowControl/>
      <w:spacing w:after="160" w:line="240" w:lineRule="exact"/>
      <w:jc w:val="left"/>
    </w:pPr>
  </w:style>
  <w:style w:type="paragraph" w:customStyle="1" w:styleId="277">
    <w:name w:val="Char Char Char1"/>
    <w:basedOn w:val="1"/>
    <w:autoRedefine/>
    <w:qFormat/>
    <w:uiPriority w:val="99"/>
    <w:rPr>
      <w:rFonts w:ascii="Tahoma" w:hAnsi="Tahoma" w:cs="Tahoma"/>
      <w:sz w:val="24"/>
      <w:szCs w:val="24"/>
    </w:rPr>
  </w:style>
  <w:style w:type="paragraph" w:customStyle="1" w:styleId="278">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Courier New"/>
      <w:kern w:val="0"/>
      <w:sz w:val="20"/>
      <w:szCs w:val="20"/>
    </w:rPr>
  </w:style>
  <w:style w:type="paragraph" w:customStyle="1" w:styleId="279">
    <w:name w:val="菲页(卷)"/>
    <w:basedOn w:val="2"/>
    <w:next w:val="280"/>
    <w:autoRedefine/>
    <w:qFormat/>
    <w:uiPriority w:val="0"/>
    <w:pPr>
      <w:keepLines w:val="0"/>
      <w:widowControl/>
      <w:tabs>
        <w:tab w:val="left" w:pos="432"/>
      </w:tabs>
      <w:spacing w:line="240" w:lineRule="auto"/>
      <w:jc w:val="center"/>
      <w:outlineLvl w:val="1"/>
    </w:pPr>
    <w:rPr>
      <w:rFonts w:ascii="黑体" w:cs="黑体"/>
      <w:b w:val="0"/>
      <w:bCs w:val="0"/>
      <w:kern w:val="0"/>
      <w:sz w:val="52"/>
      <w:szCs w:val="52"/>
    </w:rPr>
  </w:style>
  <w:style w:type="paragraph" w:customStyle="1" w:styleId="280">
    <w:name w:val="正文1"/>
    <w:autoRedefine/>
    <w:qFormat/>
    <w:uiPriority w:val="0"/>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customStyle="1" w:styleId="281">
    <w:name w:val="列出段落2"/>
    <w:basedOn w:val="1"/>
    <w:autoRedefine/>
    <w:qFormat/>
    <w:uiPriority w:val="99"/>
    <w:pPr>
      <w:ind w:firstLine="420" w:firstLineChars="200"/>
    </w:pPr>
  </w:style>
  <w:style w:type="paragraph" w:customStyle="1" w:styleId="282">
    <w:name w:val="菲页2"/>
    <w:basedOn w:val="4"/>
    <w:autoRedefine/>
    <w:qFormat/>
    <w:uiPriority w:val="0"/>
    <w:pPr>
      <w:widowControl/>
      <w:tabs>
        <w:tab w:val="left" w:pos="720"/>
      </w:tabs>
      <w:spacing w:before="120" w:after="120"/>
      <w:jc w:val="center"/>
    </w:pPr>
    <w:rPr>
      <w:rFonts w:ascii="黑体" w:hAnsi="宋体" w:cs="黑体"/>
      <w:b w:val="0"/>
      <w:bCs w:val="0"/>
      <w:kern w:val="0"/>
      <w:sz w:val="44"/>
      <w:szCs w:val="44"/>
    </w:rPr>
  </w:style>
  <w:style w:type="paragraph" w:customStyle="1" w:styleId="283">
    <w:name w:val="font5"/>
    <w:basedOn w:val="1"/>
    <w:autoRedefine/>
    <w:qFormat/>
    <w:uiPriority w:val="99"/>
    <w:pPr>
      <w:widowControl/>
      <w:spacing w:before="100" w:beforeAutospacing="1" w:after="100" w:afterAutospacing="1"/>
      <w:jc w:val="left"/>
    </w:pPr>
    <w:rPr>
      <w:rFonts w:ascii="宋体" w:hAnsi="宋体" w:cs="宋体"/>
      <w:color w:val="000000"/>
      <w:kern w:val="0"/>
      <w:sz w:val="22"/>
      <w:szCs w:val="22"/>
    </w:rPr>
  </w:style>
  <w:style w:type="paragraph" w:customStyle="1" w:styleId="284">
    <w:name w:val="xl73"/>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85">
    <w:name w:val="目录"/>
    <w:basedOn w:val="1"/>
    <w:autoRedefine/>
    <w:qFormat/>
    <w:uiPriority w:val="0"/>
    <w:pPr>
      <w:widowControl/>
      <w:jc w:val="center"/>
    </w:pPr>
    <w:rPr>
      <w:rFonts w:ascii="宋体" w:cs="宋体"/>
      <w:b/>
      <w:bCs/>
      <w:kern w:val="0"/>
      <w:sz w:val="36"/>
      <w:szCs w:val="36"/>
    </w:rPr>
  </w:style>
  <w:style w:type="paragraph" w:customStyle="1" w:styleId="286">
    <w:name w:val="xl86"/>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7">
    <w:name w:val="_Style 31"/>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88">
    <w:name w:val="xl87"/>
    <w:basedOn w:val="1"/>
    <w:autoRedefine/>
    <w:qFormat/>
    <w:uiPriority w:val="99"/>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89">
    <w:name w:val="修订11"/>
    <w:autoRedefine/>
    <w:qFormat/>
    <w:uiPriority w:val="99"/>
    <w:rPr>
      <w:rFonts w:ascii="Times New Roman" w:hAnsi="Times New Roman" w:eastAsia="宋体" w:cs="Times New Roman"/>
      <w:kern w:val="2"/>
      <w:sz w:val="21"/>
      <w:szCs w:val="21"/>
      <w:lang w:val="en-US" w:eastAsia="zh-CN" w:bidi="ar-SA"/>
    </w:rPr>
  </w:style>
  <w:style w:type="paragraph" w:customStyle="1" w:styleId="290">
    <w:name w:val="样式2"/>
    <w:basedOn w:val="1"/>
    <w:autoRedefine/>
    <w:qFormat/>
    <w:uiPriority w:val="99"/>
    <w:pPr>
      <w:tabs>
        <w:tab w:val="left" w:pos="709"/>
        <w:tab w:val="left" w:pos="960"/>
        <w:tab w:val="left" w:pos="1200"/>
      </w:tabs>
      <w:spacing w:beforeLines="50" w:line="360" w:lineRule="auto"/>
      <w:ind w:left="709" w:hanging="425"/>
    </w:pPr>
    <w:rPr>
      <w:rFonts w:ascii="Arial" w:hAnsi="Arial" w:cs="Arial"/>
      <w:sz w:val="24"/>
      <w:szCs w:val="24"/>
    </w:rPr>
  </w:style>
  <w:style w:type="paragraph" w:customStyle="1" w:styleId="291">
    <w:name w:val="表正文"/>
    <w:basedOn w:val="1"/>
    <w:next w:val="29"/>
    <w:autoRedefine/>
    <w:qFormat/>
    <w:uiPriority w:val="99"/>
    <w:rPr>
      <w:rFonts w:ascii="宋体" w:hAnsi="Courier New" w:cs="宋体"/>
    </w:rPr>
  </w:style>
  <w:style w:type="paragraph" w:customStyle="1" w:styleId="292">
    <w:name w:val="标题A"/>
    <w:basedOn w:val="1"/>
    <w:autoRedefine/>
    <w:qFormat/>
    <w:uiPriority w:val="99"/>
    <w:pPr>
      <w:autoSpaceDE w:val="0"/>
      <w:autoSpaceDN w:val="0"/>
      <w:adjustRightInd w:val="0"/>
      <w:ind w:left="720" w:right="-866"/>
      <w:jc w:val="left"/>
      <w:textAlignment w:val="baseline"/>
    </w:pPr>
    <w:rPr>
      <w:rFonts w:hAnsi="Arial" w:eastAsia="黑体"/>
      <w:i/>
      <w:iCs/>
      <w:kern w:val="0"/>
      <w:sz w:val="28"/>
      <w:szCs w:val="28"/>
    </w:rPr>
  </w:style>
  <w:style w:type="paragraph" w:customStyle="1" w:styleId="293">
    <w:name w:val="正文 New New New New New New New New New New New New New New New"/>
    <w:autoRedefine/>
    <w:qFormat/>
    <w:uiPriority w:val="99"/>
    <w:pPr>
      <w:widowControl w:val="0"/>
      <w:jc w:val="both"/>
    </w:pPr>
    <w:rPr>
      <w:rFonts w:ascii="Arial" w:hAnsi="Arial" w:eastAsia="宋体" w:cs="Arial"/>
      <w:kern w:val="2"/>
      <w:sz w:val="21"/>
      <w:szCs w:val="21"/>
      <w:lang w:val="en-US" w:eastAsia="zh-CN" w:bidi="ar-SA"/>
    </w:rPr>
  </w:style>
  <w:style w:type="paragraph" w:customStyle="1" w:styleId="294">
    <w:name w:val="xl94"/>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95">
    <w:name w:val="_Style 48"/>
    <w:autoRedefine/>
    <w:qFormat/>
    <w:uiPriority w:val="99"/>
    <w:pPr>
      <w:widowControl w:val="0"/>
      <w:jc w:val="both"/>
    </w:pPr>
    <w:rPr>
      <w:rFonts w:ascii="Times New Roman" w:hAnsi="Times New Roman" w:eastAsia="宋体" w:cs="Times New Roman"/>
      <w:lang w:val="en-US" w:eastAsia="zh-CN" w:bidi="ar-SA"/>
    </w:rPr>
  </w:style>
  <w:style w:type="paragraph" w:customStyle="1" w:styleId="296">
    <w:name w:val="xl84"/>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97">
    <w:name w:val="xl75"/>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98">
    <w:name w:val="字母编号列项（一级）"/>
    <w:autoRedefine/>
    <w:qFormat/>
    <w:uiPriority w:val="99"/>
    <w:pPr>
      <w:ind w:left="840" w:leftChars="200" w:hanging="420" w:hangingChars="200"/>
      <w:jc w:val="both"/>
    </w:pPr>
    <w:rPr>
      <w:rFonts w:ascii="宋体" w:hAnsi="Times New Roman" w:eastAsia="宋体" w:cs="宋体"/>
      <w:sz w:val="21"/>
      <w:szCs w:val="21"/>
      <w:lang w:val="en-US" w:eastAsia="zh-CN" w:bidi="ar-SA"/>
    </w:rPr>
  </w:style>
  <w:style w:type="paragraph" w:customStyle="1" w:styleId="299">
    <w:name w:val="_Style 11"/>
    <w:basedOn w:val="1"/>
    <w:autoRedefine/>
    <w:qFormat/>
    <w:uiPriority w:val="99"/>
    <w:pPr>
      <w:tabs>
        <w:tab w:val="left" w:pos="432"/>
      </w:tabs>
      <w:spacing w:beforeLines="50" w:afterLines="50"/>
      <w:ind w:left="432" w:hanging="432"/>
      <w:jc w:val="center"/>
    </w:pPr>
  </w:style>
  <w:style w:type="paragraph" w:customStyle="1" w:styleId="300">
    <w:name w:val="表中文字"/>
    <w:basedOn w:val="1"/>
    <w:autoRedefine/>
    <w:qFormat/>
    <w:uiPriority w:val="99"/>
    <w:pPr>
      <w:spacing w:line="320" w:lineRule="exact"/>
      <w:jc w:val="center"/>
    </w:pPr>
  </w:style>
  <w:style w:type="paragraph" w:customStyle="1" w:styleId="301">
    <w:name w:val="xl89"/>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02">
    <w:name w:val="正文段"/>
    <w:basedOn w:val="1"/>
    <w:autoRedefine/>
    <w:qFormat/>
    <w:uiPriority w:val="99"/>
    <w:pPr>
      <w:widowControl/>
      <w:snapToGrid w:val="0"/>
      <w:spacing w:afterLines="50"/>
      <w:ind w:firstLine="200" w:firstLineChars="200"/>
    </w:pPr>
    <w:rPr>
      <w:kern w:val="0"/>
      <w:sz w:val="24"/>
      <w:szCs w:val="24"/>
    </w:rPr>
  </w:style>
  <w:style w:type="paragraph" w:customStyle="1" w:styleId="303">
    <w:name w:val="xl81"/>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4">
    <w:name w:val="样式 样式 样式 样式 样式 样式 样式 样式 样式 !标题3 Ctrl+3 + + 段前: 0.5 行 段后: 0.25 行 ..."/>
    <w:basedOn w:val="1"/>
    <w:autoRedefine/>
    <w:qFormat/>
    <w:uiPriority w:val="99"/>
    <w:pPr>
      <w:tabs>
        <w:tab w:val="left" w:pos="709"/>
      </w:tabs>
      <w:adjustRightInd w:val="0"/>
      <w:snapToGrid w:val="0"/>
      <w:spacing w:beforeLines="50" w:afterLines="25" w:line="360" w:lineRule="auto"/>
      <w:ind w:left="709" w:right="210" w:rightChars="100" w:hanging="709"/>
      <w:jc w:val="left"/>
      <w:outlineLvl w:val="2"/>
    </w:pPr>
    <w:rPr>
      <w:rFonts w:ascii="Arial" w:hAnsi="Arial" w:eastAsia="黑体" w:cs="Arial"/>
      <w:b/>
      <w:bCs/>
      <w:kern w:val="0"/>
      <w:sz w:val="28"/>
      <w:szCs w:val="28"/>
    </w:rPr>
  </w:style>
  <w:style w:type="paragraph" w:customStyle="1" w:styleId="305">
    <w:name w:val="font6"/>
    <w:basedOn w:val="1"/>
    <w:autoRedefine/>
    <w:qFormat/>
    <w:uiPriority w:val="99"/>
    <w:pPr>
      <w:widowControl/>
      <w:spacing w:before="100" w:beforeAutospacing="1" w:after="100" w:afterAutospacing="1"/>
      <w:jc w:val="left"/>
    </w:pPr>
    <w:rPr>
      <w:rFonts w:ascii="宋体" w:hAnsi="宋体" w:cs="宋体"/>
      <w:b/>
      <w:bCs/>
      <w:color w:val="000000"/>
      <w:kern w:val="0"/>
      <w:sz w:val="40"/>
      <w:szCs w:val="40"/>
    </w:rPr>
  </w:style>
  <w:style w:type="paragraph" w:customStyle="1" w:styleId="306">
    <w:name w:val="xl93"/>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07">
    <w:name w:val="xl100"/>
    <w:basedOn w:val="1"/>
    <w:autoRedefine/>
    <w:qFormat/>
    <w:uiPriority w:val="99"/>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308">
    <w:name w:val="xl96"/>
    <w:basedOn w:val="1"/>
    <w:autoRedefine/>
    <w:qFormat/>
    <w:uiPriority w:val="99"/>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09">
    <w:name w:val="_Style 3"/>
    <w:basedOn w:val="1"/>
    <w:autoRedefine/>
    <w:qFormat/>
    <w:uiPriority w:val="99"/>
    <w:pPr>
      <w:ind w:firstLine="420" w:firstLineChars="200"/>
    </w:pPr>
    <w:rPr>
      <w:rFonts w:ascii="Calibri" w:hAnsi="Calibri" w:cs="Calibri"/>
    </w:rPr>
  </w:style>
  <w:style w:type="paragraph" w:customStyle="1" w:styleId="310">
    <w:name w:val="xl85"/>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11">
    <w:name w:val="标书表格"/>
    <w:basedOn w:val="1"/>
    <w:autoRedefine/>
    <w:qFormat/>
    <w:uiPriority w:val="99"/>
    <w:pPr>
      <w:spacing w:line="320" w:lineRule="exact"/>
      <w:jc w:val="center"/>
    </w:pPr>
  </w:style>
  <w:style w:type="paragraph" w:customStyle="1" w:styleId="312">
    <w:name w:val="xl76"/>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3">
    <w:name w:val="xl95"/>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14">
    <w:name w:val="xl98"/>
    <w:basedOn w:val="1"/>
    <w:autoRedefine/>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315">
    <w:name w:val="_Style 1"/>
    <w:basedOn w:val="1"/>
    <w:autoRedefine/>
    <w:qFormat/>
    <w:uiPriority w:val="99"/>
    <w:pPr>
      <w:ind w:firstLine="420" w:firstLineChars="200"/>
    </w:pPr>
  </w:style>
  <w:style w:type="paragraph" w:customStyle="1" w:styleId="316">
    <w:name w:val="xl68"/>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17">
    <w:name w:val="_Style 4"/>
    <w:basedOn w:val="1"/>
    <w:autoRedefine/>
    <w:qFormat/>
    <w:uiPriority w:val="99"/>
    <w:pPr>
      <w:ind w:firstLine="420" w:firstLineChars="200"/>
    </w:pPr>
    <w:rPr>
      <w:rFonts w:ascii="Calibri" w:hAnsi="Calibri" w:cs="Calibri"/>
    </w:rPr>
  </w:style>
  <w:style w:type="paragraph" w:customStyle="1" w:styleId="318">
    <w:name w:val="xl69"/>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仿宋_GB2312"/>
      <w:kern w:val="0"/>
      <w:sz w:val="24"/>
      <w:szCs w:val="24"/>
    </w:rPr>
  </w:style>
  <w:style w:type="paragraph" w:customStyle="1" w:styleId="319">
    <w:name w:val="样式 样式 样式 样式 样式 !标题2 Ctrl+2 + 段前: 0.5 行 段后: 0.5 行 + 段前: 0.5 行 段后:...1"/>
    <w:basedOn w:val="1"/>
    <w:autoRedefine/>
    <w:qFormat/>
    <w:uiPriority w:val="99"/>
    <w:pPr>
      <w:tabs>
        <w:tab w:val="left" w:pos="1287"/>
      </w:tabs>
      <w:adjustRightInd w:val="0"/>
      <w:snapToGrid w:val="0"/>
      <w:spacing w:beforeLines="50" w:afterLines="25" w:line="360" w:lineRule="auto"/>
      <w:ind w:left="1287" w:right="210" w:rightChars="100" w:hanging="567"/>
      <w:jc w:val="left"/>
      <w:outlineLvl w:val="1"/>
    </w:pPr>
    <w:rPr>
      <w:rFonts w:ascii="Arial" w:hAnsi="Arial" w:eastAsia="黑体" w:cs="Arial"/>
      <w:b/>
      <w:bCs/>
      <w:sz w:val="30"/>
      <w:szCs w:val="30"/>
    </w:rPr>
  </w:style>
  <w:style w:type="paragraph" w:customStyle="1" w:styleId="320">
    <w:name w:val="表格非标题文字"/>
    <w:autoRedefine/>
    <w:qFormat/>
    <w:uiPriority w:val="99"/>
    <w:pPr>
      <w:snapToGrid w:val="0"/>
      <w:spacing w:before="80" w:after="40"/>
    </w:pPr>
    <w:rPr>
      <w:rFonts w:ascii="Futura Bk" w:hAnsi="Futura Bk" w:eastAsia="宋体" w:cs="Futura Bk"/>
      <w:kern w:val="2"/>
      <w:sz w:val="18"/>
      <w:szCs w:val="18"/>
      <w:lang w:val="en-US" w:eastAsia="zh-CN" w:bidi="ar-SA"/>
    </w:rPr>
  </w:style>
  <w:style w:type="paragraph" w:customStyle="1" w:styleId="321">
    <w:name w:val="xl101"/>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22">
    <w:name w:val="列出段落3"/>
    <w:basedOn w:val="1"/>
    <w:autoRedefine/>
    <w:qFormat/>
    <w:uiPriority w:val="99"/>
    <w:pPr>
      <w:ind w:firstLine="420" w:firstLineChars="200"/>
    </w:pPr>
  </w:style>
  <w:style w:type="paragraph" w:customStyle="1" w:styleId="323">
    <w:name w:val="无间隔2"/>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24">
    <w:name w:val="列出段落4"/>
    <w:basedOn w:val="1"/>
    <w:autoRedefine/>
    <w:qFormat/>
    <w:uiPriority w:val="99"/>
    <w:pPr>
      <w:ind w:firstLine="420" w:firstLineChars="200"/>
    </w:pPr>
  </w:style>
  <w:style w:type="paragraph" w:customStyle="1" w:styleId="325">
    <w:name w:val="列出段落5"/>
    <w:basedOn w:val="1"/>
    <w:autoRedefine/>
    <w:qFormat/>
    <w:uiPriority w:val="99"/>
    <w:pPr>
      <w:ind w:firstLine="420" w:firstLineChars="200"/>
    </w:pPr>
  </w:style>
  <w:style w:type="paragraph" w:customStyle="1" w:styleId="326">
    <w:name w:val="xl92"/>
    <w:basedOn w:val="1"/>
    <w:autoRedefine/>
    <w:qFormat/>
    <w:uiPriority w:val="99"/>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27">
    <w:name w:val="!标题5 Ctrl+5"/>
    <w:basedOn w:val="1"/>
    <w:next w:val="1"/>
    <w:autoRedefine/>
    <w:qFormat/>
    <w:uiPriority w:val="99"/>
    <w:pPr>
      <w:tabs>
        <w:tab w:val="left" w:pos="992"/>
      </w:tabs>
      <w:adjustRightInd w:val="0"/>
      <w:snapToGrid w:val="0"/>
      <w:spacing w:beforeLines="50" w:afterLines="25" w:line="360" w:lineRule="auto"/>
      <w:ind w:left="709" w:hanging="709"/>
      <w:outlineLvl w:val="4"/>
    </w:pPr>
    <w:rPr>
      <w:rFonts w:ascii="Arial" w:hAnsi="Arial" w:eastAsia="黑体" w:cs="Arial"/>
      <w:b/>
      <w:bCs/>
      <w:sz w:val="28"/>
      <w:szCs w:val="28"/>
    </w:rPr>
  </w:style>
  <w:style w:type="paragraph" w:customStyle="1" w:styleId="328">
    <w:name w:val="xl74"/>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29">
    <w:name w:val="!标题6 Ctrl+6"/>
    <w:basedOn w:val="1"/>
    <w:next w:val="1"/>
    <w:autoRedefine/>
    <w:qFormat/>
    <w:uiPriority w:val="99"/>
    <w:pPr>
      <w:tabs>
        <w:tab w:val="left" w:pos="1134"/>
      </w:tabs>
      <w:adjustRightInd w:val="0"/>
      <w:snapToGrid w:val="0"/>
      <w:spacing w:beforeLines="75" w:afterLines="50" w:line="360" w:lineRule="auto"/>
      <w:ind w:left="1134" w:hanging="1134"/>
      <w:outlineLvl w:val="5"/>
    </w:pPr>
    <w:rPr>
      <w:rFonts w:ascii="Arial" w:hAnsi="Arial" w:eastAsia="黑体" w:cs="Arial"/>
      <w:b/>
      <w:bCs/>
      <w:sz w:val="24"/>
      <w:szCs w:val="24"/>
    </w:rPr>
  </w:style>
  <w:style w:type="paragraph" w:customStyle="1" w:styleId="330">
    <w:name w:val="xl80"/>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仿宋_GB2312"/>
      <w:kern w:val="0"/>
      <w:sz w:val="24"/>
      <w:szCs w:val="24"/>
    </w:rPr>
  </w:style>
  <w:style w:type="paragraph" w:customStyle="1" w:styleId="331">
    <w:name w:val="样式 样式 样式 !标题4 Ctrl+4 + 三号 黑色 段前: 0.5 行 段后: 0.5 行 行距: 1.5 倍行距 + 段..."/>
    <w:basedOn w:val="1"/>
    <w:autoRedefine/>
    <w:qFormat/>
    <w:uiPriority w:val="99"/>
    <w:pPr>
      <w:tabs>
        <w:tab w:val="left" w:pos="851"/>
      </w:tabs>
      <w:adjustRightInd w:val="0"/>
      <w:snapToGrid w:val="0"/>
      <w:spacing w:beforeLines="50" w:afterLines="25" w:line="360" w:lineRule="auto"/>
      <w:ind w:left="851" w:hanging="851"/>
      <w:jc w:val="left"/>
      <w:outlineLvl w:val="3"/>
    </w:pPr>
    <w:rPr>
      <w:rFonts w:ascii="Arial" w:hAnsi="Arial" w:eastAsia="黑体" w:cs="Arial"/>
      <w:b/>
      <w:bCs/>
      <w:color w:val="000000"/>
      <w:kern w:val="0"/>
      <w:sz w:val="28"/>
      <w:szCs w:val="28"/>
    </w:rPr>
  </w:style>
  <w:style w:type="paragraph" w:customStyle="1" w:styleId="332">
    <w:name w:val="样式 标题 2 + 首行缩进:  2 字符"/>
    <w:basedOn w:val="3"/>
    <w:autoRedefine/>
    <w:qFormat/>
    <w:uiPriority w:val="99"/>
    <w:pPr>
      <w:spacing w:line="360" w:lineRule="auto"/>
      <w:jc w:val="center"/>
    </w:pPr>
    <w:rPr>
      <w:rFonts w:eastAsia="楷体_GB2312"/>
      <w:sz w:val="28"/>
      <w:szCs w:val="28"/>
    </w:rPr>
  </w:style>
  <w:style w:type="paragraph" w:customStyle="1" w:styleId="333">
    <w:name w:val="xl71"/>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4">
    <w:name w:val="xl67"/>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5">
    <w:name w:val="xl77"/>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36">
    <w:name w:val="xl88"/>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7">
    <w:name w:val="xl79"/>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38">
    <w:name w:val="xl70"/>
    <w:basedOn w:val="1"/>
    <w:autoRedefine/>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9">
    <w:name w:val="xl97"/>
    <w:basedOn w:val="1"/>
    <w:autoRedefine/>
    <w:qFormat/>
    <w:uiPriority w:val="99"/>
    <w:pPr>
      <w:widowControl/>
      <w:spacing w:before="100" w:beforeAutospacing="1" w:after="100" w:afterAutospacing="1"/>
      <w:jc w:val="center"/>
    </w:pPr>
    <w:rPr>
      <w:rFonts w:ascii="宋体" w:hAnsi="宋体" w:cs="宋体"/>
      <w:kern w:val="0"/>
      <w:sz w:val="24"/>
      <w:szCs w:val="24"/>
    </w:rPr>
  </w:style>
  <w:style w:type="paragraph" w:customStyle="1" w:styleId="340">
    <w:name w:val="xl82"/>
    <w:basedOn w:val="1"/>
    <w:autoRedefine/>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41">
    <w:name w:val="font1"/>
    <w:basedOn w:val="1"/>
    <w:autoRedefine/>
    <w:qFormat/>
    <w:uiPriority w:val="99"/>
    <w:pPr>
      <w:widowControl/>
      <w:spacing w:before="100" w:beforeAutospacing="1" w:after="100" w:afterAutospacing="1"/>
      <w:jc w:val="left"/>
    </w:pPr>
    <w:rPr>
      <w:rFonts w:ascii="宋体" w:hAnsi="宋体" w:cs="宋体"/>
      <w:color w:val="000000"/>
      <w:kern w:val="0"/>
      <w:sz w:val="22"/>
      <w:szCs w:val="22"/>
    </w:rPr>
  </w:style>
  <w:style w:type="paragraph" w:customStyle="1" w:styleId="342">
    <w:name w:val="xl66"/>
    <w:basedOn w:val="1"/>
    <w:autoRedefine/>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43">
    <w:name w:val="font7"/>
    <w:basedOn w:val="1"/>
    <w:autoRedefine/>
    <w:qFormat/>
    <w:uiPriority w:val="99"/>
    <w:pPr>
      <w:widowControl/>
      <w:spacing w:before="100" w:beforeAutospacing="1" w:after="100" w:afterAutospacing="1"/>
      <w:jc w:val="left"/>
    </w:pPr>
    <w:rPr>
      <w:rFonts w:ascii="宋体" w:hAnsi="宋体" w:cs="宋体"/>
      <w:kern w:val="0"/>
      <w:sz w:val="18"/>
      <w:szCs w:val="18"/>
    </w:rPr>
  </w:style>
  <w:style w:type="character" w:customStyle="1" w:styleId="344">
    <w:name w:val="书籍标题11"/>
    <w:autoRedefine/>
    <w:qFormat/>
    <w:uiPriority w:val="99"/>
    <w:rPr>
      <w:b/>
      <w:bCs/>
      <w:smallCaps/>
      <w:spacing w:val="5"/>
    </w:rPr>
  </w:style>
  <w:style w:type="character" w:customStyle="1" w:styleId="345">
    <w:name w:val="明显强调11"/>
    <w:autoRedefine/>
    <w:qFormat/>
    <w:uiPriority w:val="99"/>
    <w:rPr>
      <w:b/>
      <w:bCs/>
      <w:i/>
      <w:iCs/>
      <w:color w:val="4F81BD"/>
    </w:rPr>
  </w:style>
  <w:style w:type="character" w:customStyle="1" w:styleId="346">
    <w:name w:val="明显参考11"/>
    <w:autoRedefine/>
    <w:qFormat/>
    <w:uiPriority w:val="99"/>
    <w:rPr>
      <w:b/>
      <w:bCs/>
      <w:smallCaps/>
      <w:color w:val="auto"/>
      <w:spacing w:val="5"/>
      <w:u w:val="single"/>
    </w:rPr>
  </w:style>
  <w:style w:type="character" w:customStyle="1" w:styleId="347">
    <w:name w:val="不明显强调11"/>
    <w:autoRedefine/>
    <w:qFormat/>
    <w:uiPriority w:val="99"/>
    <w:rPr>
      <w:i/>
      <w:iCs/>
      <w:color w:val="808080"/>
    </w:rPr>
  </w:style>
  <w:style w:type="character" w:customStyle="1" w:styleId="348">
    <w:name w:val="不明显参考11"/>
    <w:autoRedefine/>
    <w:qFormat/>
    <w:uiPriority w:val="99"/>
    <w:rPr>
      <w:smallCaps/>
      <w:color w:val="auto"/>
      <w:u w:val="single"/>
    </w:rPr>
  </w:style>
  <w:style w:type="character" w:customStyle="1" w:styleId="349">
    <w:name w:val="正文文本缩进 Char1"/>
    <w:basedOn w:val="55"/>
    <w:autoRedefine/>
    <w:qFormat/>
    <w:uiPriority w:val="0"/>
    <w:rPr>
      <w:rFonts w:ascii="Times New Roman" w:hAnsi="Times New Roman" w:eastAsia="宋体" w:cs="Times New Roman"/>
      <w:sz w:val="24"/>
      <w:szCs w:val="24"/>
    </w:rPr>
  </w:style>
  <w:style w:type="character" w:customStyle="1" w:styleId="350">
    <w:name w:val="日期 Char2"/>
    <w:basedOn w:val="55"/>
    <w:autoRedefine/>
    <w:qFormat/>
    <w:uiPriority w:val="0"/>
    <w:rPr>
      <w:rFonts w:ascii="Times New Roman" w:hAnsi="Times New Roman" w:eastAsia="宋体" w:cs="Times New Roman"/>
      <w:sz w:val="24"/>
      <w:szCs w:val="24"/>
    </w:rPr>
  </w:style>
  <w:style w:type="character" w:customStyle="1" w:styleId="351">
    <w:name w:val="正文文本缩进 2 Char1"/>
    <w:basedOn w:val="55"/>
    <w:autoRedefine/>
    <w:qFormat/>
    <w:uiPriority w:val="0"/>
    <w:rPr>
      <w:rFonts w:ascii="Times New Roman" w:hAnsi="Times New Roman" w:eastAsia="宋体" w:cs="Times New Roman"/>
      <w:sz w:val="24"/>
      <w:szCs w:val="24"/>
    </w:rPr>
  </w:style>
  <w:style w:type="character" w:customStyle="1" w:styleId="352">
    <w:name w:val="纯文本 Char2"/>
    <w:basedOn w:val="55"/>
    <w:autoRedefine/>
    <w:qFormat/>
    <w:uiPriority w:val="0"/>
    <w:rPr>
      <w:rFonts w:ascii="宋体" w:hAnsi="Courier New" w:eastAsia="宋体" w:cs="宋体"/>
      <w:sz w:val="21"/>
      <w:szCs w:val="21"/>
    </w:rPr>
  </w:style>
  <w:style w:type="character" w:customStyle="1" w:styleId="353">
    <w:name w:val="正文文本 Char2"/>
    <w:basedOn w:val="55"/>
    <w:autoRedefine/>
    <w:qFormat/>
    <w:uiPriority w:val="0"/>
    <w:rPr>
      <w:rFonts w:ascii="Times New Roman" w:hAnsi="Times New Roman" w:eastAsia="宋体" w:cs="Times New Roman"/>
      <w:sz w:val="24"/>
      <w:szCs w:val="24"/>
    </w:rPr>
  </w:style>
  <w:style w:type="paragraph" w:customStyle="1" w:styleId="354">
    <w:name w:val="TOC 标题11"/>
    <w:basedOn w:val="2"/>
    <w:next w:val="1"/>
    <w:autoRedefine/>
    <w:qFormat/>
    <w:uiPriority w:val="99"/>
    <w:pPr>
      <w:spacing w:before="340" w:after="330" w:line="576" w:lineRule="auto"/>
      <w:outlineLvl w:val="9"/>
    </w:pPr>
    <w:rPr>
      <w:rFonts w:ascii="Calibri" w:hAnsi="Calibri" w:cs="Calibri"/>
    </w:rPr>
  </w:style>
  <w:style w:type="character" w:customStyle="1" w:styleId="355">
    <w:name w:val="Char Char1"/>
    <w:basedOn w:val="55"/>
    <w:autoRedefine/>
    <w:qFormat/>
    <w:uiPriority w:val="99"/>
    <w:rPr>
      <w:rFonts w:ascii="宋体" w:hAnsi="Courier New" w:eastAsia="宋体" w:cs="宋体"/>
      <w:kern w:val="2"/>
      <w:sz w:val="21"/>
      <w:szCs w:val="21"/>
      <w:lang w:val="en-US" w:eastAsia="zh-CN"/>
    </w:rPr>
  </w:style>
  <w:style w:type="paragraph" w:customStyle="1" w:styleId="356">
    <w:name w:val="正文11"/>
    <w:autoRedefine/>
    <w:qFormat/>
    <w:uiPriority w:val="99"/>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customStyle="1" w:styleId="357">
    <w:name w:val="标题 41"/>
    <w:basedOn w:val="1"/>
    <w:autoRedefine/>
    <w:qFormat/>
    <w:uiPriority w:val="1"/>
    <w:pPr>
      <w:spacing w:before="91"/>
      <w:ind w:left="768"/>
      <w:outlineLvl w:val="4"/>
    </w:pPr>
    <w:rPr>
      <w:rFonts w:ascii="宋体" w:hAnsi="宋体"/>
      <w:sz w:val="31"/>
      <w:szCs w:val="31"/>
    </w:rPr>
  </w:style>
  <w:style w:type="table" w:customStyle="1" w:styleId="358">
    <w:name w:val="网格型1"/>
    <w:basedOn w:val="5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59">
    <w:name w:val="正文文本_"/>
    <w:basedOn w:val="55"/>
    <w:link w:val="360"/>
    <w:autoRedefine/>
    <w:qFormat/>
    <w:uiPriority w:val="0"/>
    <w:rPr>
      <w:rFonts w:ascii="MingLiU" w:hAnsi="MingLiU" w:eastAsia="MingLiU" w:cs="MingLiU"/>
      <w:sz w:val="46"/>
      <w:szCs w:val="46"/>
      <w:shd w:val="clear" w:color="auto" w:fill="FFFFFF"/>
      <w:lang w:val="zh-CN" w:bidi="zh-CN"/>
    </w:rPr>
  </w:style>
  <w:style w:type="paragraph" w:customStyle="1" w:styleId="360">
    <w:name w:val="正文文本1"/>
    <w:basedOn w:val="1"/>
    <w:link w:val="359"/>
    <w:autoRedefine/>
    <w:qFormat/>
    <w:uiPriority w:val="0"/>
    <w:pPr>
      <w:shd w:val="clear" w:color="auto" w:fill="FFFFFF"/>
      <w:spacing w:line="422" w:lineRule="auto"/>
      <w:ind w:firstLine="400"/>
      <w:jc w:val="left"/>
    </w:pPr>
    <w:rPr>
      <w:rFonts w:ascii="MingLiU" w:hAnsi="MingLiU" w:eastAsia="MingLiU" w:cs="MingLiU"/>
      <w:kern w:val="0"/>
      <w:sz w:val="46"/>
      <w:szCs w:val="46"/>
      <w:lang w:val="zh-CN" w:bidi="zh-CN"/>
    </w:rPr>
  </w:style>
  <w:style w:type="character" w:customStyle="1" w:styleId="361">
    <w:name w:val="表格标题_"/>
    <w:basedOn w:val="55"/>
    <w:link w:val="362"/>
    <w:autoRedefine/>
    <w:qFormat/>
    <w:uiPriority w:val="0"/>
    <w:rPr>
      <w:rFonts w:ascii="MingLiU" w:hAnsi="MingLiU" w:eastAsia="MingLiU" w:cs="MingLiU"/>
      <w:sz w:val="46"/>
      <w:szCs w:val="46"/>
      <w:shd w:val="clear" w:color="auto" w:fill="FFFFFF"/>
      <w:lang w:val="zh-CN" w:bidi="zh-CN"/>
    </w:rPr>
  </w:style>
  <w:style w:type="paragraph" w:customStyle="1" w:styleId="362">
    <w:name w:val="表格标题"/>
    <w:basedOn w:val="1"/>
    <w:link w:val="361"/>
    <w:autoRedefine/>
    <w:qFormat/>
    <w:uiPriority w:val="0"/>
    <w:pPr>
      <w:shd w:val="clear" w:color="auto" w:fill="FFFFFF"/>
      <w:jc w:val="left"/>
    </w:pPr>
    <w:rPr>
      <w:rFonts w:ascii="MingLiU" w:hAnsi="MingLiU" w:eastAsia="MingLiU" w:cs="MingLiU"/>
      <w:kern w:val="0"/>
      <w:sz w:val="46"/>
      <w:szCs w:val="46"/>
      <w:lang w:val="zh-CN" w:bidi="zh-CN"/>
    </w:rPr>
  </w:style>
  <w:style w:type="character" w:customStyle="1" w:styleId="363">
    <w:name w:val="其他_"/>
    <w:basedOn w:val="55"/>
    <w:link w:val="364"/>
    <w:autoRedefine/>
    <w:qFormat/>
    <w:uiPriority w:val="0"/>
    <w:rPr>
      <w:rFonts w:ascii="MingLiU" w:hAnsi="MingLiU" w:eastAsia="MingLiU" w:cs="MingLiU"/>
      <w:sz w:val="46"/>
      <w:szCs w:val="46"/>
      <w:shd w:val="clear" w:color="auto" w:fill="FFFFFF"/>
      <w:lang w:val="zh-CN" w:bidi="zh-CN"/>
    </w:rPr>
  </w:style>
  <w:style w:type="paragraph" w:customStyle="1" w:styleId="364">
    <w:name w:val="其他"/>
    <w:basedOn w:val="1"/>
    <w:link w:val="363"/>
    <w:autoRedefine/>
    <w:qFormat/>
    <w:uiPriority w:val="0"/>
    <w:pPr>
      <w:shd w:val="clear" w:color="auto" w:fill="FFFFFF"/>
      <w:spacing w:line="1024" w:lineRule="exact"/>
      <w:jc w:val="left"/>
    </w:pPr>
    <w:rPr>
      <w:rFonts w:ascii="MingLiU" w:hAnsi="MingLiU" w:eastAsia="MingLiU" w:cs="MingLiU"/>
      <w:kern w:val="0"/>
      <w:sz w:val="46"/>
      <w:szCs w:val="46"/>
      <w:lang w:val="zh-CN" w:bidi="zh-CN"/>
    </w:rPr>
  </w:style>
  <w:style w:type="character" w:customStyle="1" w:styleId="365">
    <w:name w:val="不明显强调2"/>
    <w:autoRedefine/>
    <w:qFormat/>
    <w:uiPriority w:val="0"/>
    <w:rPr>
      <w:i/>
      <w:iCs/>
      <w:color w:val="808080"/>
    </w:rPr>
  </w:style>
  <w:style w:type="character" w:customStyle="1" w:styleId="366">
    <w:name w:val="明显参考2"/>
    <w:autoRedefine/>
    <w:qFormat/>
    <w:uiPriority w:val="0"/>
    <w:rPr>
      <w:b/>
      <w:bCs/>
      <w:smallCaps/>
      <w:color w:val="C0504D"/>
      <w:spacing w:val="5"/>
      <w:u w:val="single"/>
    </w:rPr>
  </w:style>
  <w:style w:type="character" w:customStyle="1" w:styleId="367">
    <w:name w:val="书籍标题2"/>
    <w:autoRedefine/>
    <w:qFormat/>
    <w:uiPriority w:val="0"/>
    <w:rPr>
      <w:b/>
      <w:bCs/>
      <w:smallCaps/>
      <w:spacing w:val="5"/>
    </w:rPr>
  </w:style>
  <w:style w:type="character" w:customStyle="1" w:styleId="368">
    <w:name w:val="明显强调2"/>
    <w:autoRedefine/>
    <w:qFormat/>
    <w:uiPriority w:val="0"/>
    <w:rPr>
      <w:b/>
      <w:bCs/>
      <w:i/>
      <w:iCs/>
      <w:color w:val="4F81BD"/>
    </w:rPr>
  </w:style>
  <w:style w:type="character" w:customStyle="1" w:styleId="369">
    <w:name w:val="不明显参考2"/>
    <w:autoRedefine/>
    <w:qFormat/>
    <w:uiPriority w:val="0"/>
    <w:rPr>
      <w:smallCaps/>
      <w:color w:val="C0504D"/>
      <w:u w:val="single"/>
    </w:rPr>
  </w:style>
  <w:style w:type="paragraph" w:customStyle="1" w:styleId="370">
    <w:name w:val="修订2"/>
    <w:autoRedefine/>
    <w:qFormat/>
    <w:uiPriority w:val="0"/>
    <w:rPr>
      <w:rFonts w:ascii="Times New Roman" w:hAnsi="Times New Roman" w:eastAsia="宋体" w:cs="Times New Roman"/>
      <w:kern w:val="2"/>
      <w:sz w:val="21"/>
      <w:szCs w:val="24"/>
      <w:lang w:val="en-US" w:eastAsia="zh-CN" w:bidi="ar-SA"/>
    </w:rPr>
  </w:style>
  <w:style w:type="paragraph" w:customStyle="1" w:styleId="371">
    <w:name w:val="TOC 标题2"/>
    <w:basedOn w:val="2"/>
    <w:next w:val="1"/>
    <w:autoRedefine/>
    <w:qFormat/>
    <w:uiPriority w:val="0"/>
    <w:pPr>
      <w:spacing w:before="340" w:after="330" w:line="576" w:lineRule="auto"/>
      <w:outlineLvl w:val="9"/>
    </w:pPr>
    <w:rPr>
      <w:rFonts w:ascii="Calibri" w:hAnsi="Calibri" w:eastAsia="宋体"/>
    </w:rPr>
  </w:style>
  <w:style w:type="paragraph" w:customStyle="1" w:styleId="372">
    <w:name w:val="修订3"/>
    <w:autoRedefine/>
    <w:hidden/>
    <w:semiHidden/>
    <w:qFormat/>
    <w:uiPriority w:val="99"/>
    <w:rPr>
      <w:rFonts w:ascii="Times New Roman" w:hAnsi="Times New Roman" w:eastAsia="宋体" w:cs="Times New Roman"/>
      <w:kern w:val="2"/>
      <w:sz w:val="21"/>
      <w:szCs w:val="21"/>
      <w:lang w:val="en-US" w:eastAsia="zh-CN" w:bidi="ar-SA"/>
    </w:rPr>
  </w:style>
  <w:style w:type="paragraph" w:customStyle="1" w:styleId="373">
    <w:name w:val="修订4"/>
    <w:autoRedefine/>
    <w:hidden/>
    <w:semiHidden/>
    <w:qFormat/>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59</Pages>
  <Words>17904</Words>
  <Characters>19222</Characters>
  <Lines>274</Lines>
  <Paragraphs>77</Paragraphs>
  <TotalTime>26</TotalTime>
  <ScaleCrop>false</ScaleCrop>
  <LinksUpToDate>false</LinksUpToDate>
  <CharactersWithSpaces>19787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2021-03-18T02:11:00Z</dcterms:created>
  <dc:creator>微软用户</dc:creator>
  <cp:lastModifiedBy>Z.</cp:lastModifiedBy>
  <cp:lastPrinted>2024-12-10T10:19:00Z</cp:lastPrinted>
  <dcterms:modified xsi:type="dcterms:W3CDTF">2025-02-26T01:44:46Z</dcterms:modified>
  <dc:title>广西壮族自治区房屋建筑和市政工程施工电子招标文件范本（2015年版）</dc:title>
  <cp:revision>3021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2FA3E69F578C4F7996A7E1BD2F18DB15_13</vt:lpwstr>
  </property>
  <property fmtid="{D5CDD505-2E9C-101B-9397-08002B2CF9AE}" pid="4" name="KSOTemplateDocerSaveRecord">
    <vt:lpwstr>eyJoZGlkIjoiNDU1YjE0YWRjNGIwZGQ3NDFkNWM2NDRkZWJkNGEzYjkiLCJ1c2VySWQiOiI2ODg0MTg4MjEifQ==</vt:lpwstr>
  </property>
</Properties>
</file>